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60"/>
        <w:jc w:val="left"/>
        <w:rPr/>
      </w:pPr>
      <w:bookmarkStart w:id="0" w:name="inio-20260605.htm"/>
      <w:bookmarkStart w:id="1" w:name="ksinio20260605"/>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June 5, 2026</w:t>
      </w:r>
    </w:p>
    <w:p>
      <w:pPr>
        <w:pStyle w:val="TextBody"/>
        <w:bidi w:val="0"/>
        <w:jc w:val="center"/>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 xml:space="preserve">Registration No. 333- </w:t>
      </w:r>
    </w:p>
    <w:p>
      <w:pPr>
        <w:pStyle w:val="TextBody"/>
        <w:pBdr>
          <w:bottom w:val="single" w:sz="6" w:space="1" w:color="000000"/>
        </w:pBdr>
        <w:bidi w:val="0"/>
        <w:jc w:val="center"/>
        <w:rPr/>
      </w:pPr>
      <w:r>
        <w:rPr/>
        <w:t> </w:t>
      </w:r>
    </w:p>
    <w:p>
      <w:pPr>
        <w:pStyle w:val="TextBody"/>
        <w:bidi w:val="0"/>
        <w:spacing w:before="40" w:after="4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INNIO N.V.</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The Netherlands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Not Applicable</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Nymphenburger Strasse 5</w:t>
      </w:r>
    </w:p>
    <w:p>
      <w:pPr>
        <w:pStyle w:val="TextBody"/>
        <w:bidi w:val="0"/>
        <w:jc w:val="center"/>
        <w:rPr>
          <w:rFonts w:ascii="Times New Roman" w:hAnsi="Times New Roman"/>
          <w:b/>
          <w:color w:val="000000"/>
          <w:sz w:val="20"/>
        </w:rPr>
      </w:pPr>
      <w:r>
        <w:rPr>
          <w:rFonts w:ascii="Times New Roman" w:hAnsi="Times New Roman"/>
          <w:b/>
          <w:color w:val="000000"/>
          <w:sz w:val="20"/>
        </w:rPr>
        <w:t>80335 Munich, Germany</w:t>
      </w:r>
    </w:p>
    <w:p>
      <w:pPr>
        <w:pStyle w:val="TextBody"/>
        <w:bidi w:val="0"/>
        <w:jc w:val="center"/>
        <w:rPr>
          <w:rFonts w:ascii="Times New Roman" w:hAnsi="Times New Roman"/>
          <w:b/>
          <w:color w:val="000000"/>
          <w:sz w:val="20"/>
        </w:rPr>
      </w:pPr>
      <w:r>
        <w:rPr>
          <w:rFonts w:ascii="Times New Roman" w:hAnsi="Times New Roman"/>
          <w:b/>
          <w:color w:val="000000"/>
          <w:sz w:val="20"/>
        </w:rPr>
        <w:t>+49.89.89.82.7221</w:t>
      </w:r>
    </w:p>
    <w:p>
      <w:pPr>
        <w:pStyle w:val="TextBody"/>
        <w:bidi w:val="0"/>
        <w:jc w:val="center"/>
        <w:rPr>
          <w:rFonts w:ascii="Times New Roman" w:hAnsi="Times New Roman"/>
          <w:sz w:val="20"/>
        </w:rPr>
      </w:pPr>
      <w:r>
        <w:rPr>
          <w:rFonts w:ascii="Times New Roman" w:hAnsi="Times New Roman"/>
          <w:b/>
          <w:color w:val="000000"/>
          <w:sz w:val="16"/>
        </w:rPr>
        <w:t>(Address, including zip code of Principal Executive Offices)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2026 Incentive Award Plan</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INNIO Holding Inc.</w:t>
      </w:r>
    </w:p>
    <w:p>
      <w:pPr>
        <w:pStyle w:val="TextBody"/>
        <w:bidi w:val="0"/>
        <w:jc w:val="center"/>
        <w:rPr>
          <w:rFonts w:ascii="Times New Roman" w:hAnsi="Times New Roman"/>
          <w:b/>
          <w:color w:val="000000"/>
          <w:sz w:val="20"/>
        </w:rPr>
      </w:pPr>
      <w:r>
        <w:rPr>
          <w:rFonts w:ascii="Times New Roman" w:hAnsi="Times New Roman"/>
          <w:b/>
          <w:color w:val="000000"/>
          <w:sz w:val="20"/>
        </w:rPr>
        <w:t>Authorized U.S. Representative</w:t>
      </w:r>
    </w:p>
    <w:p>
      <w:pPr>
        <w:pStyle w:val="TextBody"/>
        <w:bidi w:val="0"/>
        <w:jc w:val="center"/>
        <w:rPr>
          <w:rFonts w:ascii="Times New Roman" w:hAnsi="Times New Roman"/>
          <w:b/>
          <w:color w:val="000000"/>
          <w:sz w:val="20"/>
        </w:rPr>
      </w:pPr>
      <w:r>
        <w:rPr>
          <w:rFonts w:ascii="Times New Roman" w:hAnsi="Times New Roman"/>
          <w:b/>
          <w:color w:val="000000"/>
          <w:sz w:val="20"/>
        </w:rPr>
        <w:t>1101 W. St. Paul Ave.</w:t>
      </w:r>
    </w:p>
    <w:p>
      <w:pPr>
        <w:pStyle w:val="TextBody"/>
        <w:bidi w:val="0"/>
        <w:jc w:val="center"/>
        <w:rPr>
          <w:rFonts w:ascii="Times New Roman" w:hAnsi="Times New Roman"/>
          <w:b/>
          <w:color w:val="000000"/>
          <w:sz w:val="20"/>
        </w:rPr>
      </w:pPr>
      <w:r>
        <w:rPr>
          <w:rFonts w:ascii="Times New Roman" w:hAnsi="Times New Roman"/>
          <w:b/>
          <w:color w:val="000000"/>
          <w:sz w:val="20"/>
        </w:rPr>
        <w:t>Waukesha, WI 53188</w:t>
      </w:r>
    </w:p>
    <w:p>
      <w:pPr>
        <w:pStyle w:val="TextBody"/>
        <w:bidi w:val="0"/>
        <w:jc w:val="center"/>
        <w:rPr>
          <w:rFonts w:ascii="Times New Roman" w:hAnsi="Times New Roman"/>
          <w:b/>
          <w:color w:val="000000"/>
          <w:sz w:val="20"/>
        </w:rPr>
      </w:pPr>
      <w:r>
        <w:rPr>
          <w:rFonts w:ascii="Times New Roman" w:hAnsi="Times New Roman"/>
          <w:b/>
          <w:color w:val="000000"/>
          <w:sz w:val="20"/>
        </w:rPr>
        <w:t>+1.262.547.3311</w:t>
      </w:r>
    </w:p>
    <w:p>
      <w:pPr>
        <w:pStyle w:val="TextBody"/>
        <w:bidi w:val="0"/>
        <w:jc w:val="center"/>
        <w:rPr>
          <w:rFonts w:ascii="Times New Roman" w:hAnsi="Times New Roman"/>
          <w:sz w:val="20"/>
        </w:rPr>
      </w:pPr>
      <w:r>
        <w:rPr>
          <w:rFonts w:ascii="Times New Roman" w:hAnsi="Times New Roman"/>
          <w:b/>
          <w:color w:val="000000"/>
          <w:sz w:val="16"/>
        </w:rPr>
        <w:t>(Name, address and telephone number, including area code, of agent for service)</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i/>
          <w:color w:val="000000"/>
          <w:sz w:val="20"/>
        </w:rPr>
        <w:t>Copy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Marc D. Jaffe</w:t>
      </w:r>
    </w:p>
    <w:p>
      <w:pPr>
        <w:pStyle w:val="TextBody"/>
        <w:bidi w:val="0"/>
        <w:jc w:val="center"/>
        <w:rPr>
          <w:rFonts w:ascii="Times New Roman" w:hAnsi="Times New Roman"/>
          <w:b/>
          <w:color w:val="000000"/>
          <w:sz w:val="20"/>
        </w:rPr>
      </w:pPr>
      <w:r>
        <w:rPr>
          <w:rFonts w:ascii="Times New Roman" w:hAnsi="Times New Roman"/>
          <w:b/>
          <w:color w:val="000000"/>
          <w:sz w:val="20"/>
        </w:rPr>
        <w:t>Ian D. Schuman</w:t>
      </w:r>
    </w:p>
    <w:p>
      <w:pPr>
        <w:pStyle w:val="TextBody"/>
        <w:bidi w:val="0"/>
        <w:jc w:val="center"/>
        <w:rPr>
          <w:rFonts w:ascii="Times New Roman" w:hAnsi="Times New Roman"/>
          <w:b/>
          <w:color w:val="000000"/>
          <w:sz w:val="20"/>
        </w:rPr>
      </w:pPr>
      <w:r>
        <w:rPr>
          <w:rFonts w:ascii="Times New Roman" w:hAnsi="Times New Roman"/>
          <w:b/>
          <w:color w:val="000000"/>
          <w:sz w:val="20"/>
        </w:rPr>
        <w:t>Oliver Seiler</w:t>
      </w:r>
    </w:p>
    <w:p>
      <w:pPr>
        <w:pStyle w:val="TextBody"/>
        <w:bidi w:val="0"/>
        <w:jc w:val="center"/>
        <w:rPr>
          <w:rFonts w:ascii="Times New Roman" w:hAnsi="Times New Roman"/>
          <w:b/>
          <w:color w:val="000000"/>
          <w:sz w:val="20"/>
        </w:rPr>
      </w:pPr>
      <w:r>
        <w:rPr>
          <w:rFonts w:ascii="Times New Roman" w:hAnsi="Times New Roman"/>
          <w:b/>
          <w:color w:val="000000"/>
          <w:sz w:val="20"/>
        </w:rPr>
        <w:t>Jennifer M. Gascoyne</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Latham &amp; Watkins LLP</w:t>
      </w:r>
    </w:p>
    <w:p>
      <w:pPr>
        <w:pStyle w:val="TextBody"/>
        <w:bidi w:val="0"/>
        <w:jc w:val="center"/>
        <w:rPr>
          <w:rFonts w:ascii="Times New Roman" w:hAnsi="Times New Roman"/>
          <w:b/>
          <w:color w:val="000000"/>
          <w:sz w:val="20"/>
        </w:rPr>
      </w:pPr>
      <w:r>
        <w:rPr>
          <w:rFonts w:ascii="Times New Roman" w:hAnsi="Times New Roman"/>
          <w:b/>
          <w:color w:val="000000"/>
          <w:sz w:val="20"/>
        </w:rPr>
        <w:t>1271 Avenue of the Americas</w:t>
      </w:r>
    </w:p>
    <w:p>
      <w:pPr>
        <w:pStyle w:val="TextBody"/>
        <w:bidi w:val="0"/>
        <w:jc w:val="center"/>
        <w:rPr>
          <w:rFonts w:ascii="Times New Roman" w:hAnsi="Times New Roman"/>
          <w:b/>
          <w:color w:val="000000"/>
          <w:sz w:val="20"/>
        </w:rPr>
      </w:pPr>
      <w:r>
        <w:rPr>
          <w:rFonts w:ascii="Times New Roman" w:hAnsi="Times New Roman"/>
          <w:b/>
          <w:color w:val="000000"/>
          <w:sz w:val="20"/>
        </w:rPr>
        <w:t>New York, NY 10020</w:t>
      </w:r>
    </w:p>
    <w:p>
      <w:pPr>
        <w:pStyle w:val="TextBody"/>
        <w:bidi w:val="0"/>
        <w:jc w:val="center"/>
        <w:rPr>
          <w:rFonts w:ascii="Times New Roman" w:hAnsi="Times New Roman"/>
          <w:b/>
          <w:color w:val="000000"/>
          <w:sz w:val="20"/>
        </w:rPr>
      </w:pPr>
      <w:r>
        <w:rPr>
          <w:rFonts w:ascii="Times New Roman" w:hAnsi="Times New Roman"/>
          <w:b/>
          <w:color w:val="000000"/>
          <w:sz w:val="20"/>
        </w:rPr>
        <w:t>(212) 906-1200</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 (the “</w:t>
      </w:r>
      <w:r>
        <w:rPr>
          <w:rFonts w:ascii="Times New Roman" w:hAnsi="Times New Roman"/>
          <w:color w:val="000000"/>
          <w:sz w:val="20"/>
          <w:u w:val="single"/>
        </w:rPr>
        <w:t>Exchange Act</w:t>
      </w:r>
      <w:r>
        <w:rPr>
          <w:rFonts w:ascii="Times New Roman" w:hAnsi="Times New Roman"/>
          <w:color w:val="000000"/>
          <w:sz w:val="20"/>
        </w:rPr>
        <w:t xml:space="preserve">”). </w:t>
      </w:r>
    </w:p>
    <w:tbl>
      <w:tblPr>
        <w:tblW w:w="5747" w:type="dxa"/>
        <w:jc w:val="left"/>
        <w:tblInd w:w="0" w:type="dxa"/>
        <w:tblLayout w:type="fixed"/>
        <w:tblCellMar>
          <w:top w:w="28" w:type="dxa"/>
          <w:left w:w="28" w:type="dxa"/>
          <w:bottom w:w="28" w:type="dxa"/>
          <w:right w:w="28" w:type="dxa"/>
        </w:tblCellMar>
      </w:tblPr>
      <w:tblGrid>
        <w:gridCol w:w="2121"/>
        <w:gridCol w:w="146"/>
        <w:gridCol w:w="316"/>
        <w:gridCol w:w="146"/>
        <w:gridCol w:w="2311"/>
        <w:gridCol w:w="146"/>
        <w:gridCol w:w="561"/>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1. Plan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required to be filed with this Registration Statement. </w:t>
      </w:r>
    </w:p>
    <w:p>
      <w:pPr>
        <w:pStyle w:val="TextBody"/>
        <w:bidi w:val="0"/>
        <w:spacing w:before="360" w:after="283"/>
        <w:jc w:val="left"/>
        <w:rPr>
          <w:rFonts w:ascii="Times New Roman" w:hAnsi="Times New Roman"/>
          <w:sz w:val="20"/>
        </w:rPr>
      </w:pPr>
      <w:r>
        <w:rPr>
          <w:rFonts w:ascii="Times New Roman" w:hAnsi="Times New Roman"/>
          <w:b/>
          <w:color w:val="000000"/>
          <w:sz w:val="20"/>
        </w:rPr>
        <w:t>Item 2. Registrant Information and Employee Plan Annual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required to be filed with this Registration Statement.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documents filed or to be filed (other than portions of those documents furnished or otherwise not deemed filed) by the Company with the Securities and Exchange Commission (the “</w:t>
      </w:r>
      <w:r>
        <w:rPr>
          <w:rFonts w:ascii="Times New Roman" w:hAnsi="Times New Roman"/>
          <w:color w:val="000000"/>
          <w:sz w:val="20"/>
          <w:u w:val="single"/>
        </w:rPr>
        <w:t>Commission</w:t>
      </w:r>
      <w:r>
        <w:rPr>
          <w:rFonts w:ascii="Times New Roman" w:hAnsi="Times New Roman"/>
          <w:color w:val="000000"/>
          <w:sz w:val="20"/>
        </w:rPr>
        <w:t>”) are incorporated into this Registration Statement by reference, as of their respective dates:</w:t>
      </w:r>
    </w:p>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8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The Company’s prospectus filed with the Commission pursuant to Rule </w:t>
            </w:r>
            <w:hyperlink r:id="rId2">
              <w:r>
                <w:rPr>
                  <w:rStyle w:val="InternetLink"/>
                  <w:rFonts w:ascii="Times New Roman" w:hAnsi="Times New Roman"/>
                  <w:color w:val="0000FF"/>
                  <w:sz w:val="20"/>
                  <w:u w:val="single"/>
                </w:rPr>
                <w:t>424(b)</w:t>
              </w:r>
            </w:hyperlink>
            <w:r>
              <w:rPr>
                <w:rFonts w:ascii="Times New Roman" w:hAnsi="Times New Roman"/>
                <w:color w:val="000000"/>
                <w:sz w:val="20"/>
              </w:rPr>
              <w:t> under the Securities Act, which relates to the registration statement on Form S-1, as amended (File No. 333-295751), and all amendments to such registration statement; and</w:t>
            </w:r>
          </w:p>
        </w:tc>
      </w:tr>
    </w:tbl>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786"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The description of the Company’s Common Shares contained in the Company’s Registration Statement on </w:t>
            </w:r>
            <w:hyperlink r:id="rId3">
              <w:r>
                <w:rPr>
                  <w:rStyle w:val="InternetLink"/>
                  <w:rFonts w:ascii="Times New Roman" w:hAnsi="Times New Roman"/>
                  <w:color w:val="0000FF"/>
                  <w:sz w:val="20"/>
                  <w:u w:val="single"/>
                </w:rPr>
                <w:t>Form 8-A</w:t>
              </w:r>
            </w:hyperlink>
            <w:r>
              <w:rPr>
                <w:rFonts w:ascii="Times New Roman" w:hAnsi="Times New Roman"/>
                <w:color w:val="000000"/>
                <w:sz w:val="20"/>
              </w:rPr>
              <w:t> dated June 4, 2026 (File No. 001-43329) filed under the Exchange Act, including any amendment or report filed for the purpose of updating such description.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documents subsequently filed by the Company pursuant to Sections 13(a), 13(c), 14, and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the Registration Statement and to be a part thereof from the date of the filing of such documents.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 </w:t>
      </w:r>
    </w:p>
    <w:p>
      <w:pPr>
        <w:pStyle w:val="TextBody"/>
        <w:bidi w:val="0"/>
        <w:spacing w:before="360" w:after="283"/>
        <w:jc w:val="left"/>
        <w:rPr>
          <w:rFonts w:ascii="Times New Roman" w:hAnsi="Times New Roman"/>
          <w:sz w:val="20"/>
        </w:rPr>
      </w:pPr>
      <w:r>
        <w:rPr>
          <w:rFonts w:ascii="Times New Roman" w:hAnsi="Times New Roman"/>
          <w:b/>
          <w:color w:val="000000"/>
          <w:sz w:val="20"/>
        </w:rPr>
        <w:t>Item 4. Description of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r>
        <w:rPr>
          <w:rFonts w:ascii="Times New Roman" w:hAnsi="Times New Roman"/>
          <w:b/>
          <w:color w:val="000000"/>
          <w:sz w:val="20"/>
        </w:rPr>
        <w:t>Item 5. Interests of Named Experts and Counsel.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Dutch law, our directors may be held liable for damages in the event of improper or negligent performance of their duties. They may be held liable for damages to our company and to third parties for infringement of our articles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of directors. No indemnification under our articles of association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 (b) to the extent that his or her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our company, except for proceedings brought to enforce indemnification to which he or she is entitled pursuant to our articles of association, pursuant to an agreement between such indemnified person and our company which has been approved by our board of directors or pursuant to insurance taken out by our company for the benefit of such indemnified person; and (d) for any financial losses, damages or expenses incurred in connection with a settlement of any proceedings effected without our prior consent.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our articles of association, our board of directors may stipulate additional terms, conditions and restrictions in relation to the indemnification described above. Reference is also made to the underwriting agreement, a form of which was filed with the Form S-1 for the Company’s initial public offering, which provides for the indemnification of officers, directors and controlling persons of the Company, within the meaning of the Securities Act against certain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also the Undertakings set forth in the response to Item 9 herein. </w:t>
      </w:r>
    </w:p>
    <w:p>
      <w:pPr>
        <w:pStyle w:val="TextBody"/>
        <w:bidi w:val="0"/>
        <w:spacing w:before="360" w:after="283"/>
        <w:jc w:val="left"/>
        <w:rPr>
          <w:rFonts w:ascii="Times New Roman" w:hAnsi="Times New Roman"/>
          <w:sz w:val="20"/>
        </w:rPr>
      </w:pPr>
      <w:r>
        <w:rPr>
          <w:rFonts w:ascii="Times New Roman" w:hAnsi="Times New Roman"/>
          <w:b/>
          <w:color w:val="000000"/>
          <w:sz w:val="20"/>
        </w:rPr>
        <w:t>Item 7. Exemption from Registration Claimed.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Exhibit </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Exhibit Index</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Articles of Association of the Company (incorporated by reference to Exhibit 3.1 to the Company’s Registration Statement on Form S-1 (File No. 333-295751), filed with the Commission)</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inio-ex5_1.htm">
              <w:r>
                <w:rPr>
                  <w:rStyle w:val="InternetLink"/>
                  <w:rFonts w:ascii="Times New Roman" w:hAnsi="Times New Roman"/>
                  <w:color w:val="0000FF"/>
                  <w:sz w:val="20"/>
                  <w:u w:val="single"/>
                </w:rPr>
                <w:t>Opinion of NautaDutilh N.V.</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inio-ex23_1.htm">
              <w:r>
                <w:rPr>
                  <w:rStyle w:val="InternetLink"/>
                  <w:rFonts w:ascii="Times New Roman" w:hAnsi="Times New Roman"/>
                  <w:color w:val="0000FF"/>
                  <w:sz w:val="20"/>
                  <w:u w:val="single"/>
                </w:rPr>
                <w:t>Consent of KPMG AG Wirtschaftsprüfungsgesellschaft</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inio-ex5_1.htm">
              <w:r>
                <w:rPr>
                  <w:rStyle w:val="InternetLink"/>
                  <w:rFonts w:ascii="Times New Roman" w:hAnsi="Times New Roman"/>
                  <w:color w:val="0000FF"/>
                  <w:sz w:val="20"/>
                  <w:u w:val="single"/>
                </w:rPr>
                <w:t>Consent of NautaDutilh N.V. (included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hereto)</w:t>
              </w:r>
            </w:hyperlink>
            <w:hyperlink w:anchor="signatures">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2026 Incentive Award Plan (incorporated by reference to Exhibit 10.2 to the Company’s Registration Statement on Form S-1 (File No. 333-295751), filed with the Commission)</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Option Grant Notice and Award Agreement under the INNIO N.V. 2026 Incentive Award Plan (incorporated by reference to Exhibit 10.13 to the Company’s Registration Statement on Form S-1 (File No. 333-295751), filed with the Commission)</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07"/>
        <w:gridCol w:w="146"/>
        <w:gridCol w:w="9552"/>
      </w:tblGrid>
      <w:tr>
        <w:trPr/>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2" w:type="dxa"/>
            <w:tcBorders/>
            <w:vAlign w:val="center"/>
          </w:tcPr>
          <w:p>
            <w:pPr>
              <w:pStyle w:val="TableContents"/>
              <w:bidi w:val="0"/>
              <w:spacing w:before="0" w:after="283"/>
              <w:jc w:val="left"/>
              <w:rPr>
                <w:sz w:val="4"/>
                <w:szCs w:val="4"/>
              </w:rPr>
            </w:pPr>
            <w:r>
              <w:rPr>
                <w:sz w:val="4"/>
                <w:szCs w:val="4"/>
              </w:rPr>
            </w:r>
          </w:p>
        </w:tc>
      </w:tr>
      <w:tr>
        <w:trPr/>
        <w:tc>
          <w:tcPr>
            <w:tcW w:w="5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RSU Grant Notice and Award Agreement under the INNIO N.V. 2026 Incentive Award Plan (incorporated by reference to Exhibit 10.14 to the Company’s Registration Statement on Form S-1 (File No. 333-295751), filed with the Commission)</w:t>
              </w:r>
            </w:hyperlink>
          </w:p>
        </w:tc>
      </w:tr>
      <w:tr>
        <w:trPr/>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2" w:type="dxa"/>
            <w:tcBorders/>
            <w:tcMar>
              <w:top w:w="0" w:type="dxa"/>
              <w:left w:w="0" w:type="dxa"/>
              <w:bottom w:w="0" w:type="dxa"/>
              <w:right w:w="0" w:type="dxa"/>
            </w:tcMar>
            <w:vAlign w:val="center"/>
          </w:tcPr>
          <w:p>
            <w:pPr>
              <w:pStyle w:val="TableContents"/>
              <w:bidi w:val="0"/>
              <w:spacing w:before="0" w:after="283"/>
              <w:jc w:val="left"/>
              <w:rPr/>
            </w:pPr>
            <w:hyperlink w:anchor="inio-exfiling_fees.htm">
              <w:r>
                <w:rPr>
                  <w:rStyle w:val="InternetLink"/>
                  <w:rFonts w:ascii="Times New Roman" w:hAnsi="Times New Roman"/>
                  <w:color w:val="0000FF"/>
                  <w:sz w:val="20"/>
                  <w:u w:val="single"/>
                </w:rPr>
                <w:t>Filing Fee Table</w:t>
              </w:r>
            </w:hyperlink>
          </w:p>
        </w:tc>
      </w:tr>
      <w:tr>
        <w:trPr/>
        <w:tc>
          <w:tcPr>
            <w:tcW w:w="5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Filed herewith.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Item 9. Undertakings.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The Company hereby undertakes: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To file, during any period in which offers or sales are being made, a post-effective amendment to this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To include any prospectus required by Section 10(a)(3) of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xml:space="preserve"> that paragraphs (A)(1)(i) and (A)(1)(ii) do not apply if the Registration Statement is on Form S-8, and the information required to be included in the post-effective amendment by those paragraphs is contained in periodic reports filed with or furnished to the Commission by the Company pursuant to Section 13 or Section 15(d) of the Exchange Act that are incorporated by reference in this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signatures"/>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Munich, Federal Republic of Germany, on this 5th day of June, 2026.</w:t>
      </w:r>
    </w:p>
    <w:tbl>
      <w:tblPr>
        <w:tblW w:w="3966" w:type="dxa"/>
        <w:jc w:val="left"/>
        <w:tblInd w:w="0" w:type="dxa"/>
        <w:tblLayout w:type="fixed"/>
        <w:tblCellMar>
          <w:top w:w="28" w:type="dxa"/>
          <w:left w:w="28" w:type="dxa"/>
          <w:bottom w:w="28" w:type="dxa"/>
          <w:right w:w="28" w:type="dxa"/>
        </w:tblCellMar>
      </w:tblPr>
      <w:tblGrid>
        <w:gridCol w:w="646"/>
        <w:gridCol w:w="109"/>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INNIO N.V.</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Olaf Berlien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Olaf Berlien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MEN AND WOMEN BY THESE PRESENTS, that each person whose signature appears below hereby severally constitutes and appoints each of the Company’s Chief Executive Officer and Chief Financial Officer (currently Dr. Olaf Berlien and Dr. Dennis Schulze, respectively) as such person’s true and lawful attorney-in-fact and agent, each acting alone, with full power of substitution and resubstitution, for and in such person’s name, place and stead, in any and all capacities, to sign any and all amendments (including post-effective amendments) to this Registration Statement and all documents relating thereto, and to file the same, with all exhibits thereto, and other documents in connection therewith, with the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indicated on June 5, 2026.</w:t>
      </w:r>
    </w:p>
    <w:tbl>
      <w:tblPr>
        <w:tblW w:w="6546" w:type="dxa"/>
        <w:jc w:val="left"/>
        <w:tblInd w:w="0" w:type="dxa"/>
        <w:tblLayout w:type="fixed"/>
        <w:tblCellMar>
          <w:top w:w="28" w:type="dxa"/>
          <w:left w:w="28" w:type="dxa"/>
          <w:bottom w:w="28" w:type="dxa"/>
          <w:right w:w="28" w:type="dxa"/>
        </w:tblCellMar>
      </w:tblPr>
      <w:tblGrid>
        <w:gridCol w:w="1921"/>
        <w:gridCol w:w="109"/>
        <w:gridCol w:w="4516"/>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Olaf Berlien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Chief Executive Officer and Executive Director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Olaf Berlien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Dennis Schulze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 and Executive Director</w:t>
            </w:r>
          </w:p>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and Principal Accounting Officer)</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Dennis Schulze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Tom Linebarger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 and Chairperson of the Board</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 Linebarger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Lee Banks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 Banks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Abhishek Chauhan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Abhishek Chauhan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Nicoletta Giadrossi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Nicoletta Giadrossi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4183" w:type="dxa"/>
        <w:jc w:val="left"/>
        <w:tblInd w:w="0" w:type="dxa"/>
        <w:tblLayout w:type="fixed"/>
        <w:tblCellMar>
          <w:top w:w="28" w:type="dxa"/>
          <w:left w:w="28" w:type="dxa"/>
          <w:bottom w:w="28" w:type="dxa"/>
          <w:right w:w="28" w:type="dxa"/>
        </w:tblCellMar>
      </w:tblPr>
      <w:tblGrid>
        <w:gridCol w:w="1951"/>
        <w:gridCol w:w="146"/>
        <w:gridCol w:w="208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Stefan Klebert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Stefan Klebert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Ranjan Sen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Ranjan Sen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pBdr>
                <w:bottom w:val="single" w:sz="8" w:space="1" w:color="000000"/>
              </w:pBdr>
              <w:bidi w:val="0"/>
              <w:spacing w:before="0" w:after="20"/>
              <w:jc w:val="left"/>
              <w:rPr>
                <w:rFonts w:ascii="Times New Roman" w:hAnsi="Times New Roman"/>
                <w:color w:val="000000"/>
                <w:sz w:val="20"/>
              </w:rPr>
            </w:pPr>
            <w:r>
              <w:rPr>
                <w:rFonts w:ascii="Times New Roman" w:hAnsi="Times New Roman"/>
                <w:color w:val="000000"/>
                <w:sz w:val="20"/>
              </w:rPr>
              <w:t>/s/ Karin Sonnenmoser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Karin Sonnenmoser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Rainer Thuerbach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Rainer Thuerbach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 Yetman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 Yetman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 w:name="inio-ex5_1.htm"/>
      <w:bookmarkStart w:id="4" w:name="ksinioex5_1"/>
      <w:bookmarkEnd w:id="3"/>
      <w:bookmarkEnd w:id="4"/>
      <w:r>
        <w:rPr>
          <w:rFonts w:ascii="Times New Roman" w:hAnsi="Times New Roman"/>
          <w:b/>
          <w:color w:val="000000"/>
          <w:sz w:val="22"/>
        </w:rPr>
        <w:t>Exhibit 5.1</w:t>
      </w:r>
      <w:r>
        <w:br w:type="page"/>
      </w:r>
    </w:p>
    <w:p>
      <w:pPr>
        <w:pStyle w:val="TextBody"/>
        <w:bidi w:val="0"/>
        <w:jc w:val="right"/>
        <w:rPr/>
      </w:pPr>
      <w:r>
        <w:rPr/>
        <w:t> </w:t>
      </w:r>
    </w:p>
    <w:tbl>
      <w:tblPr>
        <w:tblW w:w="6658" w:type="dxa"/>
        <w:jc w:val="left"/>
        <w:tblInd w:w="0" w:type="dxa"/>
        <w:tblLayout w:type="fixed"/>
        <w:tblCellMar>
          <w:top w:w="28" w:type="dxa"/>
          <w:left w:w="28" w:type="dxa"/>
          <w:bottom w:w="28" w:type="dxa"/>
          <w:right w:w="28" w:type="dxa"/>
        </w:tblCellMar>
      </w:tblPr>
      <w:tblGrid>
        <w:gridCol w:w="3946"/>
        <w:gridCol w:w="146"/>
        <w:gridCol w:w="256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spacing w:before="0" w:after="200"/>
              <w:jc w:val="left"/>
              <w:rPr>
                <w:rFonts w:ascii="Arial" w:hAnsi="Arial"/>
                <w:color w:val="000000"/>
                <w:sz w:val="15"/>
              </w:rPr>
            </w:pPr>
            <w:r>
              <w:rPr>
                <w:rFonts w:ascii="Arial" w:hAnsi="Arial"/>
                <w:color w:val="000000"/>
                <w:sz w:val="15"/>
              </w:rPr>
              <w:t>ATTORNEYS  CIVIL LAW NOTARIES  TAX ADVISERS</w:t>
            </w:r>
          </w:p>
        </w:tc>
        <w:tc>
          <w:tcPr>
            <w:tcW w:w="2712" w:type="dxa"/>
            <w:gridSpan w:val="2"/>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137160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1371600" cy="219075"/>
                          </a:xfrm>
                          <a:prstGeom prst="rect">
                            <a:avLst/>
                          </a:prstGeom>
                        </pic:spPr>
                      </pic:pic>
                    </a:graphicData>
                  </a:graphic>
                </wp:inline>
              </w:drawing>
            </w:r>
          </w:p>
        </w:tc>
      </w:tr>
      <w:tr>
        <w:trPr/>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P.O. Box 7113</w:t>
            </w:r>
          </w:p>
          <w:p>
            <w:pPr>
              <w:pStyle w:val="TableContents"/>
              <w:bidi w:val="0"/>
              <w:jc w:val="left"/>
              <w:rPr>
                <w:rFonts w:ascii="Times New Roman" w:hAnsi="Times New Roman"/>
                <w:color w:val="000000"/>
                <w:sz w:val="22"/>
              </w:rPr>
            </w:pPr>
            <w:r>
              <w:rPr>
                <w:rFonts w:ascii="Times New Roman" w:hAnsi="Times New Roman"/>
                <w:color w:val="000000"/>
                <w:sz w:val="22"/>
              </w:rPr>
              <w:t>1007 JC Amsterdam</w:t>
            </w:r>
          </w:p>
          <w:p>
            <w:pPr>
              <w:pStyle w:val="TableContents"/>
              <w:bidi w:val="0"/>
              <w:jc w:val="left"/>
              <w:rPr>
                <w:rFonts w:ascii="Times New Roman" w:hAnsi="Times New Roman"/>
                <w:color w:val="000000"/>
                <w:sz w:val="22"/>
              </w:rPr>
            </w:pPr>
            <w:r>
              <w:rPr>
                <w:rFonts w:ascii="Times New Roman" w:hAnsi="Times New Roman"/>
                <w:color w:val="000000"/>
                <w:sz w:val="22"/>
              </w:rPr>
              <w:t>Beethovenstraat 400</w:t>
            </w:r>
          </w:p>
          <w:p>
            <w:pPr>
              <w:pStyle w:val="TableContents"/>
              <w:bidi w:val="0"/>
              <w:jc w:val="left"/>
              <w:rPr>
                <w:rFonts w:ascii="Times New Roman" w:hAnsi="Times New Roman"/>
                <w:color w:val="000000"/>
                <w:sz w:val="22"/>
              </w:rPr>
            </w:pPr>
            <w:r>
              <w:rPr>
                <w:rFonts w:ascii="Times New Roman" w:hAnsi="Times New Roman"/>
                <w:color w:val="000000"/>
                <w:sz w:val="22"/>
              </w:rPr>
              <w:t>1082 PR Amsterdam</w:t>
            </w:r>
          </w:p>
          <w:p>
            <w:pPr>
              <w:pStyle w:val="TableContents"/>
              <w:bidi w:val="0"/>
              <w:jc w:val="left"/>
              <w:rPr>
                <w:rFonts w:ascii="Times New Roman" w:hAnsi="Times New Roman"/>
                <w:color w:val="000000"/>
                <w:sz w:val="22"/>
              </w:rPr>
            </w:pPr>
            <w:r>
              <w:rPr>
                <w:rFonts w:ascii="Times New Roman" w:hAnsi="Times New Roman"/>
                <w:color w:val="000000"/>
                <w:sz w:val="22"/>
              </w:rPr>
              <w:t>T +31 20 71 71 000</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 +31 20 71 71 111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Amsterdam, June 5 2026.</w:t>
            </w:r>
          </w:p>
        </w:tc>
      </w:tr>
    </w:tbl>
    <w:p>
      <w:pPr>
        <w:pStyle w:val="TextBody"/>
        <w:bidi w:val="0"/>
        <w:jc w:val="left"/>
        <w:rPr/>
      </w:pPr>
      <w:r>
        <w:rPr/>
        <w:t> </w:t>
      </w:r>
    </w:p>
    <w:p>
      <w:pPr>
        <w:pStyle w:val="TextBody"/>
        <w:bidi w:val="0"/>
        <w:spacing w:before="0" w:after="200"/>
        <w:jc w:val="both"/>
        <w:rPr>
          <w:rFonts w:ascii="Times New Roman" w:hAnsi="Times New Roman"/>
          <w:color w:val="000000"/>
          <w:sz w:val="22"/>
        </w:rPr>
      </w:pPr>
      <w:bookmarkStart w:id="5" w:name="bmkdocinfo"/>
      <w:bookmarkStart w:id="6" w:name="bmkdocinfoline"/>
      <w:bookmarkStart w:id="7" w:name="bmkextrapara2"/>
      <w:bookmarkEnd w:id="5"/>
      <w:bookmarkEnd w:id="6"/>
      <w:bookmarkEnd w:id="7"/>
      <w:r>
        <w:rPr>
          <w:rFonts w:ascii="Times New Roman" w:hAnsi="Times New Roman"/>
          <w:color w:val="000000"/>
          <w:sz w:val="22"/>
        </w:rPr>
        <w:t>To the Company: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have acted as legal counsel as to Dutch law to the Company in connection with the Plan and the filing of the Registration Statement with the SEC. This opinion letter is rendered to you in order to be filed with the SEC as an exhibit to the Registration Statement.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rendering the opinions expressed in this opinion letter, we have reviewed and relied upon a draft of the Registration Statement and pdf copies of the Plan and the Corporate Documents and we have assumed that Awards under the Plan shall be made for bona fide commercial reasons. We have not investigated or verified any factual matter disclosed to us in the course of our review.</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Plan, the Registration Statement or the Corporate Documents subsequent to the date of this opinion letter.</w:t>
      </w:r>
    </w:p>
    <w:p>
      <w:pPr>
        <w:pStyle w:val="TextBody"/>
        <w:bidi w:val="0"/>
        <w:spacing w:before="0" w:after="200"/>
        <w:jc w:val="both"/>
        <w:rPr>
          <w:rFonts w:ascii="Times New Roman" w:hAnsi="Times New Roman"/>
          <w:sz w:val="20"/>
        </w:rPr>
      </w:pPr>
      <w:r>
        <w:rPr>
          <w:rFonts w:ascii="Times New Roman" w:hAnsi="Times New Roman"/>
          <w:color w:val="000000"/>
          <w:sz w:val="22"/>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pStyle w:val="HorizontalLine"/>
        <w:pBdr>
          <w:bottom w:val="double" w:sz="2" w:space="0" w:color="808080"/>
        </w:pBdr>
        <w:bidi w:val="0"/>
        <w:spacing w:before="0" w:after="283"/>
        <w:jc w:val="left"/>
        <w:rPr/>
      </w:pPr>
      <w:r>
        <w:rPr/>
      </w:r>
    </w:p>
    <w:tbl>
      <w:tblPr>
        <w:tblW w:w="2452" w:type="dxa"/>
        <w:jc w:val="left"/>
        <w:tblInd w:w="0" w:type="dxa"/>
        <w:tblLayout w:type="fixed"/>
        <w:tblCellMar>
          <w:top w:w="28" w:type="dxa"/>
          <w:left w:w="28" w:type="dxa"/>
          <w:bottom w:w="28" w:type="dxa"/>
          <w:right w:w="28" w:type="dxa"/>
        </w:tblCellMar>
      </w:tblPr>
      <w:tblGrid>
        <w:gridCol w:w="161"/>
        <w:gridCol w:w="842"/>
        <w:gridCol w:w="1449"/>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2291" w:type="dxa"/>
            <w:gridSpan w:val="2"/>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1371600"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371600" cy="21907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449"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For the purposes of this opinion letter, we have assumed that: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copy of a document conforms to the original, each original is authentic, and each signature is the genuine signature of the individual purported to have placed that signature;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Registration Statement has been or will be filed with the SEC in the form reviewed by us;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at each Relevant Moment, (i) Common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pPr>
      <w:r>
        <w:rPr>
          <w:rFonts w:ascii="Times New Roman" w:hAnsi="Times New Roman"/>
          <w:color w:val="000000"/>
          <w:sz w:val="22"/>
        </w:rPr>
        <w:t xml:space="preserve">the Company has been duly incorporated as a </w:t>
      </w:r>
      <w:r>
        <w:rPr>
          <w:rFonts w:ascii="Times New Roman" w:hAnsi="Times New Roman"/>
          <w:i/>
          <w:color w:val="000000"/>
          <w:sz w:val="22"/>
        </w:rPr>
        <w:t xml:space="preserve">Gesellschaft mit beschränkter Haftung </w:t>
      </w:r>
      <w:r>
        <w:rPr>
          <w:rFonts w:ascii="Times New Roman" w:hAnsi="Times New Roman"/>
          <w:color w:val="000000"/>
          <w:sz w:val="22"/>
        </w:rPr>
        <w:t>pursuant to the laws of Germany;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all factual factual statements made and the confirmations given in the Pre-Conversion Certificate are complete and correct;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Current Articles are the Articles of Association currently in force and as they will be in force at each Relevant Moment;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pPr>
      <w:r>
        <w:rPr>
          <w:rFonts w:ascii="Times New Roman" w:hAnsi="Times New Roman"/>
          <w:color w:val="000000"/>
          <w:sz w:val="22"/>
        </w:rPr>
        <w:t>at each Relevant Moment, the authorised share capital (</w:t>
      </w:r>
      <w:r>
        <w:rPr>
          <w:rFonts w:ascii="Times New Roman" w:hAnsi="Times New Roman"/>
          <w:i/>
          <w:color w:val="000000"/>
          <w:sz w:val="22"/>
        </w:rPr>
        <w:t>maatschappelijk kapitaal</w:t>
      </w:r>
      <w:r>
        <w:rPr>
          <w:rFonts w:ascii="Times New Roman" w:hAnsi="Times New Roman"/>
          <w:color w:val="000000"/>
          <w:sz w:val="22"/>
        </w:rPr>
        <w:t xml:space="preserve">) of the Company shall allow for the grant of Awards and the issuance of Plan Shares pursuant to the exercise or settlement thereof;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at each Relevant Moment, the Company will not have (i) been dissolved (</w:t>
      </w:r>
      <w:r>
        <w:rPr>
          <w:rFonts w:ascii="Times New Roman" w:hAnsi="Times New Roman"/>
          <w:i/>
          <w:color w:val="000000"/>
          <w:sz w:val="22"/>
        </w:rPr>
        <w:t>ontbonden</w:t>
      </w:r>
      <w:r>
        <w:rPr>
          <w:rFonts w:ascii="Times New Roman" w:hAnsi="Times New Roman"/>
          <w:color w:val="000000"/>
          <w:sz w:val="22"/>
        </w:rPr>
        <w:t>), (ii) ceased to exist pursuant to a merger (</w:t>
      </w:r>
      <w:r>
        <w:rPr>
          <w:rFonts w:ascii="Times New Roman" w:hAnsi="Times New Roman"/>
          <w:i/>
          <w:color w:val="000000"/>
          <w:sz w:val="22"/>
        </w:rPr>
        <w:t>fusie</w:t>
      </w:r>
      <w:r>
        <w:rPr>
          <w:rFonts w:ascii="Times New Roman" w:hAnsi="Times New Roman"/>
          <w:color w:val="000000"/>
          <w:sz w:val="22"/>
        </w:rPr>
        <w:t>) or a division (</w:t>
      </w:r>
      <w:r>
        <w:rPr>
          <w:rFonts w:ascii="Times New Roman" w:hAnsi="Times New Roman"/>
          <w:i/>
          <w:color w:val="000000"/>
          <w:sz w:val="22"/>
        </w:rPr>
        <w:t>splitsing</w:t>
      </w:r>
      <w:r>
        <w:rPr>
          <w:rFonts w:ascii="Times New Roman" w:hAnsi="Times New Roman"/>
          <w:color w:val="000000"/>
          <w:sz w:val="22"/>
        </w:rPr>
        <w:t>), (iii) been converted (</w:t>
      </w:r>
      <w:r>
        <w:rPr>
          <w:rFonts w:ascii="Times New Roman" w:hAnsi="Times New Roman"/>
          <w:i/>
          <w:color w:val="000000"/>
          <w:sz w:val="22"/>
        </w:rPr>
        <w:t>omgezet</w:t>
      </w:r>
      <w:r>
        <w:rPr>
          <w:rFonts w:ascii="Times New Roman" w:hAnsi="Times New Roman"/>
          <w:color w:val="000000"/>
          <w:sz w:val="22"/>
        </w:rPr>
        <w:t>) into another legal form, either national or foreign (except pursuant to the B.V. Deed of Conversion and the Deed of Conversion), (iv) had its assets placed under administration (</w:t>
      </w:r>
      <w:r>
        <w:rPr>
          <w:rFonts w:ascii="Times New Roman" w:hAnsi="Times New Roman"/>
          <w:i/>
          <w:color w:val="000000"/>
          <w:sz w:val="22"/>
        </w:rPr>
        <w:t>onder bewind gesteld</w:t>
      </w:r>
      <w:r>
        <w:rPr>
          <w:rFonts w:ascii="Times New Roman" w:hAnsi="Times New Roman"/>
          <w:color w:val="000000"/>
          <w:sz w:val="22"/>
        </w:rPr>
        <w:t>), (v) been declared bankrupt (</w:t>
      </w:r>
      <w:r>
        <w:rPr>
          <w:rFonts w:ascii="Times New Roman" w:hAnsi="Times New Roman"/>
          <w:i/>
          <w:color w:val="000000"/>
          <w:sz w:val="22"/>
        </w:rPr>
        <w:t>failliet verklaard</w:t>
      </w:r>
      <w:r>
        <w:rPr>
          <w:rFonts w:ascii="Times New Roman" w:hAnsi="Times New Roman"/>
          <w:color w:val="000000"/>
          <w:sz w:val="22"/>
        </w:rPr>
        <w:t>), (vi) been granted a suspension of payments (</w:t>
      </w:r>
      <w:r>
        <w:rPr>
          <w:rFonts w:ascii="Times New Roman" w:hAnsi="Times New Roman"/>
          <w:i/>
          <w:color w:val="000000"/>
          <w:sz w:val="22"/>
        </w:rPr>
        <w:t>surseance van betaling verleend</w:t>
      </w:r>
      <w:r>
        <w:rPr>
          <w:rFonts w:ascii="Times New Roman" w:hAnsi="Times New Roman"/>
          <w:color w:val="000000"/>
          <w:sz w:val="22"/>
        </w:rPr>
        <w:t>), (vii) started or become subject to statutory proceedings for the restructuring of its debts (</w:t>
      </w:r>
      <w:r>
        <w:rPr>
          <w:rFonts w:ascii="Times New Roman" w:hAnsi="Times New Roman"/>
          <w:i/>
          <w:color w:val="000000"/>
          <w:sz w:val="22"/>
        </w:rPr>
        <w:t>akkoordprocedure</w:t>
      </w:r>
      <w:r>
        <w:rPr>
          <w:rFonts w:ascii="Times New Roman" w:hAnsi="Times New Roman"/>
          <w:color w:val="000000"/>
          <w:sz w:val="22"/>
        </w:rPr>
        <w:t>) or (viii) been made subject to similar proceedings in any jurisdiction or otherwise been limited in its power to dispose of its assets;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pPr>
      <w:r>
        <w:rPr>
          <w:rFonts w:ascii="Times New Roman" w:hAnsi="Times New Roman"/>
          <w:color w:val="000000"/>
          <w:sz w:val="22"/>
        </w:rPr>
        <w:t>no Awards shall be offered to the public (</w:t>
      </w:r>
      <w:r>
        <w:rPr>
          <w:rFonts w:ascii="Times New Roman" w:hAnsi="Times New Roman"/>
          <w:i/>
          <w:color w:val="000000"/>
          <w:sz w:val="22"/>
        </w:rPr>
        <w:t>aanbieden aan het publiek</w:t>
      </w:r>
      <w:r>
        <w:rPr>
          <w:rFonts w:ascii="Times New Roman" w:hAnsi="Times New Roman"/>
          <w:color w:val="000000"/>
          <w:sz w:val="22"/>
        </w:rPr>
        <w:t>) in the Netherlands other than in conformity with the Prospectus Regulation and the rules promulgated thereunder;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00"/>
        <w:jc w:val="both"/>
        <w:rPr/>
      </w:pPr>
      <w:r>
        <w:rPr>
          <w:rFonts w:ascii="Times New Roman" w:hAnsi="Times New Roman"/>
          <w:color w:val="000000"/>
          <w:sz w:val="22"/>
        </w:rPr>
        <w:t>at each Relevant Moment, the relevant Award(s) (i) shall have been validly granted as a right to subscribe for Common Shares (</w:t>
      </w:r>
      <w:r>
        <w:rPr>
          <w:rFonts w:ascii="Times New Roman" w:hAnsi="Times New Roman"/>
          <w:i/>
          <w:color w:val="000000"/>
          <w:sz w:val="22"/>
        </w:rPr>
        <w:t>recht tot het nemen van aandelen</w:t>
      </w:r>
      <w:r>
        <w:rPr>
          <w:rFonts w:ascii="Times New Roman" w:hAnsi="Times New Roman"/>
          <w:color w:val="000000"/>
          <w:sz w:val="22"/>
        </w:rPr>
        <w:t>) by the corporate body authorised to do so, (ii) shall be in full force and effect upon being exercised or settled, as applicable, (iii) shall have been validly exercised or settled, as applicable, in accordance with the terms and conditions applicable to such Award(s) and (iv) any pre-emption rights in respect of such Award(s) shall have been validly excluded by the corporate body authorised to do so; and</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452" w:type="dxa"/>
        <w:jc w:val="left"/>
        <w:tblInd w:w="0" w:type="dxa"/>
        <w:tblLayout w:type="fixed"/>
        <w:tblCellMar>
          <w:top w:w="28" w:type="dxa"/>
          <w:left w:w="28" w:type="dxa"/>
          <w:bottom w:w="28" w:type="dxa"/>
          <w:right w:w="28" w:type="dxa"/>
        </w:tblCellMar>
      </w:tblPr>
      <w:tblGrid>
        <w:gridCol w:w="161"/>
        <w:gridCol w:w="842"/>
        <w:gridCol w:w="1449"/>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2291" w:type="dxa"/>
            <w:gridSpan w:val="2"/>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1371600"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371600" cy="21907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449"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00"/>
        <w:jc w:val="both"/>
        <w:rPr/>
      </w:pPr>
      <w:r>
        <w:rPr>
          <w:rFonts w:ascii="Times New Roman" w:hAnsi="Times New Roman"/>
          <w:color w:val="000000"/>
          <w:sz w:val="22"/>
        </w:rPr>
        <w:t>at each Relevant Moment, each holder of the relevant Award(s) shall be an individual who has not (i) deceased, (ii) had such individual's assets placed under administration (</w:t>
      </w:r>
      <w:r>
        <w:rPr>
          <w:rFonts w:ascii="Times New Roman" w:hAnsi="Times New Roman"/>
          <w:i/>
          <w:color w:val="000000"/>
          <w:sz w:val="22"/>
        </w:rPr>
        <w:t>onder bewind gesteld</w:t>
      </w:r>
      <w:r>
        <w:rPr>
          <w:rFonts w:ascii="Times New Roman" w:hAnsi="Times New Roman"/>
          <w:color w:val="000000"/>
          <w:sz w:val="22"/>
        </w:rPr>
        <w:t>), (iii) been declared bankrupt (</w:t>
      </w:r>
      <w:r>
        <w:rPr>
          <w:rFonts w:ascii="Times New Roman" w:hAnsi="Times New Roman"/>
          <w:i/>
          <w:color w:val="000000"/>
          <w:sz w:val="22"/>
        </w:rPr>
        <w:t>failliet verklaard</w:t>
      </w:r>
      <w:r>
        <w:rPr>
          <w:rFonts w:ascii="Times New Roman" w:hAnsi="Times New Roman"/>
          <w:color w:val="000000"/>
          <w:sz w:val="22"/>
        </w:rPr>
        <w:t>), (iv) been granted a suspension of payments (</w:t>
      </w:r>
      <w:r>
        <w:rPr>
          <w:rFonts w:ascii="Times New Roman" w:hAnsi="Times New Roman"/>
          <w:i/>
          <w:color w:val="000000"/>
          <w:sz w:val="22"/>
        </w:rPr>
        <w:t>surseance van betaling verleend</w:t>
      </w:r>
      <w:r>
        <w:rPr>
          <w:rFonts w:ascii="Times New Roman" w:hAnsi="Times New Roman"/>
          <w:color w:val="000000"/>
          <w:sz w:val="22"/>
        </w:rPr>
        <w:t>), (v) been subjected to a debt reorganisation procedure (</w:t>
      </w:r>
      <w:r>
        <w:rPr>
          <w:rFonts w:ascii="Times New Roman" w:hAnsi="Times New Roman"/>
          <w:i/>
          <w:color w:val="000000"/>
          <w:sz w:val="22"/>
        </w:rPr>
        <w:t>schuldsanering</w:t>
      </w:r>
      <w:r>
        <w:rPr>
          <w:rFonts w:ascii="Times New Roman" w:hAnsi="Times New Roman"/>
          <w:color w:val="000000"/>
          <w:sz w:val="22"/>
        </w:rPr>
        <w:t>), (vi) started or become subject to statutory proceedings for the restructuring of such individual's debts (</w:t>
      </w:r>
      <w:r>
        <w:rPr>
          <w:rFonts w:ascii="Times New Roman" w:hAnsi="Times New Roman"/>
          <w:i/>
          <w:color w:val="000000"/>
          <w:sz w:val="22"/>
        </w:rPr>
        <w:t>akkoordprocedure</w:t>
      </w:r>
      <w:r>
        <w:rPr>
          <w:rFonts w:ascii="Times New Roman" w:hAnsi="Times New Roman"/>
          <w:color w:val="000000"/>
          <w:sz w:val="22"/>
        </w:rPr>
        <w:t>) or (vii) been made subject to similar proceedings in any jurisdiction or otherwise been limited in the power to dispose of such individual's assets.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Based upon and subject to the foregoing and subject to the qualifications set forth in this opinion letter and to any matters, documents or events not disclosed to us, we express the following opinions:</w:t>
      </w:r>
    </w:p>
    <w:p>
      <w:pPr>
        <w:pStyle w:val="TextBody"/>
        <w:bidi w:val="0"/>
        <w:spacing w:before="0" w:after="200"/>
        <w:jc w:val="both"/>
        <w:rPr>
          <w:rFonts w:ascii="Times New Roman" w:hAnsi="Times New Roman"/>
          <w:b/>
          <w:color w:val="000000"/>
          <w:sz w:val="22"/>
        </w:rPr>
      </w:pPr>
      <w:r>
        <w:rPr>
          <w:rFonts w:ascii="Times New Roman" w:hAnsi="Times New Roman"/>
          <w:b/>
          <w:color w:val="000000"/>
          <w:sz w:val="22"/>
        </w:rPr>
        <w:t>Cross-Border Conversion and Corporate Status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00"/>
        <w:jc w:val="both"/>
        <w:rPr/>
      </w:pPr>
      <w:r>
        <w:rPr>
          <w:rFonts w:ascii="Times New Roman" w:hAnsi="Times New Roman"/>
          <w:color w:val="000000"/>
          <w:sz w:val="22"/>
        </w:rPr>
        <w:t xml:space="preserve">The Company has been duly converted into a </w:t>
      </w:r>
      <w:r>
        <w:rPr>
          <w:rFonts w:ascii="Times New Roman" w:hAnsi="Times New Roman"/>
          <w:i/>
          <w:color w:val="000000"/>
          <w:sz w:val="22"/>
        </w:rPr>
        <w:t>besloten vennootschap met beperkte aansprakelijkheid</w:t>
      </w:r>
      <w:r>
        <w:rPr>
          <w:color w:val="000000"/>
        </w:rPr>
        <w:t xml:space="preserve"> </w:t>
      </w:r>
      <w:r>
        <w:rPr>
          <w:rFonts w:ascii="Times New Roman" w:hAnsi="Times New Roman"/>
          <w:color w:val="000000"/>
          <w:sz w:val="22"/>
        </w:rPr>
        <w:t xml:space="preserve">pursuant to the cross-border conversion effected by the B.V. Deed of Conversion and is validly existing as a </w:t>
      </w:r>
      <w:r>
        <w:rPr>
          <w:rFonts w:ascii="Times New Roman" w:hAnsi="Times New Roman"/>
          <w:i/>
          <w:color w:val="000000"/>
          <w:sz w:val="22"/>
        </w:rPr>
        <w:t>naamloze vennootschap</w:t>
      </w:r>
      <w:r>
        <w:rPr>
          <w:rFonts w:ascii="Times New Roman" w:hAnsi="Times New Roman"/>
          <w:color w:val="000000"/>
          <w:sz w:val="22"/>
        </w:rPr>
        <w:t>.</w:t>
      </w:r>
    </w:p>
    <w:p>
      <w:pPr>
        <w:pStyle w:val="TextBody"/>
        <w:bidi w:val="0"/>
        <w:spacing w:before="0" w:after="200"/>
        <w:jc w:val="both"/>
        <w:rPr>
          <w:rFonts w:ascii="Times New Roman" w:hAnsi="Times New Roman"/>
          <w:b/>
          <w:color w:val="000000"/>
          <w:sz w:val="22"/>
        </w:rPr>
      </w:pPr>
      <w:r>
        <w:rPr>
          <w:rFonts w:ascii="Times New Roman" w:hAnsi="Times New Roman"/>
          <w:b/>
          <w:color w:val="000000"/>
          <w:sz w:val="22"/>
        </w:rPr>
        <w:t>Plan Shares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Subject to receipt by the Company of payment in full for, or other satisfaction of the issue price of, the Plan Shares in accordance with the Plan, and when issued and accepted in accordance with the Plan, the Plan Shares shall be validly issued, fully paid and non-assessable.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opinions expressed above are subject to the following qualifications: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Opinion 1 must not be read to imply that the Company cannot be dissolved (</w:t>
      </w:r>
      <w:r>
        <w:rPr>
          <w:rFonts w:ascii="Times New Roman" w:hAnsi="Times New Roman"/>
          <w:i/>
          <w:color w:val="000000"/>
          <w:sz w:val="22"/>
        </w:rPr>
        <w:t>ontbonden</w:t>
      </w:r>
      <w:r>
        <w:rPr>
          <w:rFonts w:ascii="Times New Roman" w:hAnsi="Times New Roman"/>
          <w:color w:val="000000"/>
          <w:sz w:val="22"/>
        </w:rPr>
        <w:t>). A company such as the Company may be dissolved, inter alia by the competent court at the request of the company's board of directors, any interested party (</w:t>
      </w:r>
      <w:r>
        <w:rPr>
          <w:rFonts w:ascii="Times New Roman" w:hAnsi="Times New Roman"/>
          <w:i/>
          <w:color w:val="000000"/>
          <w:sz w:val="22"/>
        </w:rPr>
        <w:t>belanghebbende</w:t>
      </w:r>
      <w:r>
        <w:rPr>
          <w:rFonts w:ascii="Times New Roman" w:hAnsi="Times New Roman"/>
          <w:color w:val="000000"/>
          <w:sz w:val="22"/>
        </w:rPr>
        <w:t>) or the public prosecution office in certain circumstances, such as when there are certain defects in the incorporation of the company. Any such dissolution will not have retro-active effect.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Pursuant to Section 2:7 DCC, any transaction entered into by a legal entity may be nullified by the legal entity itself or its liquidator in bankruptcy proceedings (</w:t>
      </w:r>
      <w:r>
        <w:rPr>
          <w:rFonts w:ascii="Times New Roman" w:hAnsi="Times New Roman"/>
          <w:i/>
          <w:color w:val="000000"/>
          <w:sz w:val="22"/>
        </w:rPr>
        <w:t>curator</w:t>
      </w:r>
      <w:r>
        <w:rPr>
          <w:rFonts w:ascii="Times New Roman" w:hAnsi="Times New Roman"/>
          <w:color w:val="000000"/>
          <w:sz w:val="22"/>
        </w:rPr>
        <w:t>) if the objects of that entity were transgressed by the transaction and the other party to the transaction knew or should have known this without independent investigation (</w:t>
      </w:r>
      <w:r>
        <w:rPr>
          <w:rFonts w:ascii="Times New Roman" w:hAnsi="Times New Roman"/>
          <w:i/>
          <w:color w:val="000000"/>
          <w:sz w:val="22"/>
        </w:rPr>
        <w:t>wist of zonder eigen onderzoek moest weten</w:t>
      </w:r>
      <w:r>
        <w:rPr>
          <w:rFonts w:ascii="Times New Roman" w:hAnsi="Times New Roman"/>
          <w:color w:val="000000"/>
          <w:sz w:val="22"/>
        </w:rPr>
        <w:t>). The Dutch Supreme Court (</w:t>
      </w:r>
      <w:r>
        <w:rPr>
          <w:rFonts w:ascii="Times New Roman" w:hAnsi="Times New Roman"/>
          <w:i/>
          <w:color w:val="000000"/>
          <w:sz w:val="22"/>
        </w:rPr>
        <w:t>Hoge Raad der Nederlanden</w:t>
      </w:r>
      <w:r>
        <w:rPr>
          <w:rFonts w:ascii="Times New Roman" w:hAnsi="Times New Roman"/>
          <w:color w:val="000000"/>
          <w:sz w:val="22"/>
        </w:rPr>
        <w:t>) has ruled that in determining whether the objects of a legal entity are transgressed, not only the description of the objects in that legal entity's articles of association (</w:t>
      </w:r>
      <w:r>
        <w:rPr>
          <w:rFonts w:ascii="Times New Roman" w:hAnsi="Times New Roman"/>
          <w:i/>
          <w:color w:val="000000"/>
          <w:sz w:val="22"/>
        </w:rPr>
        <w:t>statuten</w:t>
      </w:r>
      <w:r>
        <w:rPr>
          <w:rFonts w:ascii="Times New Roman" w:hAnsi="Times New Roman"/>
          <w:color w:val="000000"/>
          <w:sz w:val="22"/>
        </w:rPr>
        <w:t>) is decisive, but all (relevant) circumstances must be taken into account, in particular whether the interests of the legal entity were served by the transaction. Based on the objects clause contained in the Current Articles, we have no reason to believe that, by making Awards under the Plan, the Company would transgress the description of the objects contained in its Articles of Association. However, we cannot assess whether there are other relevant circumstances that must be taken into account, in particular whether the interests of the Company are served by making Awards under the Plan since this is a matter of fact.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Pursuant to Section 2:98c DCC, a company such as the Company may grant loans (</w:t>
      </w:r>
      <w:r>
        <w:rPr>
          <w:rFonts w:ascii="Times New Roman" w:hAnsi="Times New Roman"/>
          <w:i/>
          <w:color w:val="000000"/>
          <w:sz w:val="22"/>
        </w:rPr>
        <w:t>leningen verstrekken</w:t>
      </w:r>
      <w:r>
        <w:rPr>
          <w:rFonts w:ascii="Times New Roman" w:hAnsi="Times New Roman"/>
          <w:color w:val="000000"/>
          <w:sz w:val="22"/>
        </w:rPr>
        <w:t>) only in accordance with the restrictions set out in Section 2:98c DCC, and may not provide security (</w:t>
      </w:r>
      <w:r>
        <w:rPr>
          <w:rFonts w:ascii="Times New Roman" w:hAnsi="Times New Roman"/>
          <w:i/>
          <w:color w:val="000000"/>
          <w:sz w:val="22"/>
        </w:rPr>
        <w:t>zekerheid stellen</w:t>
      </w:r>
      <w:r>
        <w:rPr>
          <w:rFonts w:ascii="Times New Roman" w:hAnsi="Times New Roman"/>
          <w:color w:val="000000"/>
          <w:sz w:val="22"/>
        </w:rPr>
        <w:t>), give a price guarantee (</w:t>
      </w:r>
      <w:r>
        <w:rPr>
          <w:rFonts w:ascii="Times New Roman" w:hAnsi="Times New Roman"/>
          <w:i/>
          <w:color w:val="000000"/>
          <w:sz w:val="22"/>
        </w:rPr>
        <w:t>koersgarantie geven</w:t>
      </w:r>
      <w:r>
        <w:rPr>
          <w:rFonts w:ascii="Times New Roman" w:hAnsi="Times New Roman"/>
          <w:color w:val="000000"/>
          <w:sz w:val="22"/>
        </w:rPr>
        <w:t>) or otherwise bind itself, whether jointly and severally or otherwise with or for third parties (</w:t>
      </w:r>
      <w:r>
        <w:rPr>
          <w:rFonts w:ascii="Times New Roman" w:hAnsi="Times New Roman"/>
          <w:i/>
          <w:color w:val="000000"/>
          <w:sz w:val="22"/>
        </w:rPr>
        <w:t>zich op andere wijze sterk maken of zich hoofdelijk of anderszins naast of voor anderen verbinden</w:t>
      </w:r>
      <w:r>
        <w:rPr>
          <w:rFonts w:ascii="Times New Roman" w:hAnsi="Times New Roman"/>
          <w:color w:val="000000"/>
          <w:sz w:val="22"/>
        </w:rPr>
        <w:t>) with a view to (</w:t>
      </w:r>
      <w:r>
        <w:rPr>
          <w:rFonts w:ascii="Times New Roman" w:hAnsi="Times New Roman"/>
          <w:i/>
          <w:color w:val="000000"/>
          <w:sz w:val="22"/>
        </w:rPr>
        <w:t>met het oog op</w:t>
      </w:r>
      <w:r>
        <w:rPr>
          <w:rFonts w:ascii="Times New Roman" w:hAnsi="Times New Roman"/>
          <w:color w:val="000000"/>
          <w:sz w:val="22"/>
        </w:rPr>
        <w:t>) the subscription or acquisition by third parties of shares in its share capital or depository receipts. This prohibition also applies to its subsidiaries (</w:t>
      </w:r>
      <w:r>
        <w:rPr>
          <w:rFonts w:ascii="Times New Roman" w:hAnsi="Times New Roman"/>
          <w:i/>
          <w:color w:val="000000"/>
          <w:sz w:val="22"/>
        </w:rPr>
        <w:t>dochtervennootschappen</w:t>
      </w:r>
      <w:r>
        <w:rPr>
          <w:rFonts w:ascii="Times New Roman" w:hAnsi="Times New Roman"/>
          <w:color w:val="000000"/>
          <w:sz w:val="22"/>
        </w:rPr>
        <w:t>). It is generally assumed that a transaction entered into in violation of Section 2:98c DCC is null and void (</w:t>
      </w:r>
      <w:r>
        <w:rPr>
          <w:rFonts w:ascii="Times New Roman" w:hAnsi="Times New Roman"/>
          <w:i/>
          <w:color w:val="000000"/>
          <w:sz w:val="22"/>
        </w:rPr>
        <w:t>nietig</w:t>
      </w:r>
      <w:r>
        <w:rPr>
          <w:rFonts w:ascii="Times New Roman" w:hAnsi="Times New Roman"/>
          <w:color w:val="000000"/>
          <w:sz w:val="22"/>
        </w:rPr>
        <w:t>). Based on the content of the Plan, we have no reason to believe that the Company or its subsidiaries will violate Section 2:98c DCC in connection with the issue of Plan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452" w:type="dxa"/>
        <w:jc w:val="left"/>
        <w:tblInd w:w="0" w:type="dxa"/>
        <w:tblLayout w:type="fixed"/>
        <w:tblCellMar>
          <w:top w:w="28" w:type="dxa"/>
          <w:left w:w="28" w:type="dxa"/>
          <w:bottom w:w="28" w:type="dxa"/>
          <w:right w:w="28" w:type="dxa"/>
        </w:tblCellMar>
      </w:tblPr>
      <w:tblGrid>
        <w:gridCol w:w="161"/>
        <w:gridCol w:w="842"/>
        <w:gridCol w:w="1449"/>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2291" w:type="dxa"/>
            <w:gridSpan w:val="2"/>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137160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371600" cy="21907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449"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opinions expressed in this opinion letter may be limited or affected by: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rules relating to Insolvency Proceedings or similar proceedings under a foreign law and other rules affecting creditors' rights generally;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the provisions of fraudulent preference and fraudulent conveyance (</w:t>
      </w:r>
      <w:r>
        <w:rPr>
          <w:rFonts w:ascii="Times New Roman" w:hAnsi="Times New Roman"/>
          <w:i/>
          <w:color w:val="000000"/>
          <w:sz w:val="22"/>
        </w:rPr>
        <w:t>Actio Pauliana</w:t>
      </w:r>
      <w:r>
        <w:rPr>
          <w:rFonts w:ascii="Times New Roman" w:hAnsi="Times New Roman"/>
          <w:color w:val="000000"/>
          <w:sz w:val="22"/>
        </w:rPr>
        <w:t>) and similar rights available in other jurisdictions to insolvency practitioners and insolvency office holders in bankruptcy proceedings or creditors;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claims based on tort (</w:t>
      </w:r>
      <w:r>
        <w:rPr>
          <w:rFonts w:ascii="Times New Roman" w:hAnsi="Times New Roman"/>
          <w:i/>
          <w:color w:val="000000"/>
          <w:sz w:val="22"/>
        </w:rPr>
        <w:t>onrechtmatige daad</w:t>
      </w:r>
      <w:r>
        <w:rPr>
          <w:rFonts w:ascii="Times New Roman" w:hAnsi="Times New Roman"/>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rPr>
        <w:t>sanctions and measures, including but not limited to those concerning export control, pursuant to European Union regulations, under the Dutch Sanctions Act 1977 (</w:t>
      </w:r>
      <w:r>
        <w:rPr>
          <w:rFonts w:ascii="Times New Roman" w:hAnsi="Times New Roman"/>
          <w:i/>
          <w:color w:val="000000"/>
          <w:sz w:val="22"/>
        </w:rPr>
        <w:t>Sanctiewet 1977</w:t>
      </w:r>
      <w:r>
        <w:rPr>
          <w:rFonts w:ascii="Times New Roman" w:hAnsi="Times New Roman"/>
          <w:color w:val="000000"/>
          <w:sz w:val="22"/>
        </w:rPr>
        <w:t>) or other legislation;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Anti-Boycott Regulation, Anti Money Laundering Laws and related legislation;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intervention, recovery or resolution measure by any regulatory or other authority or governmental body in relation to financial enterprises or their affiliated entities; and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pPr>
      <w:r>
        <w:rPr>
          <w:rFonts w:ascii="Times New Roman" w:hAnsi="Times New Roman"/>
          <w:color w:val="000000"/>
          <w:sz w:val="22"/>
        </w:rPr>
        <w:t>the rules of force majeure (</w:t>
      </w:r>
      <w:r>
        <w:rPr>
          <w:rFonts w:ascii="Times New Roman" w:hAnsi="Times New Roman"/>
          <w:i/>
          <w:color w:val="000000"/>
          <w:sz w:val="22"/>
        </w:rPr>
        <w:t>niet toerekenbare tekortkoming</w:t>
      </w:r>
      <w:r>
        <w:rPr>
          <w:rFonts w:ascii="Times New Roman" w:hAnsi="Times New Roman"/>
          <w:color w:val="000000"/>
          <w:sz w:val="22"/>
        </w:rPr>
        <w:t>), reasonableness and fairness (</w:t>
      </w:r>
      <w:r>
        <w:rPr>
          <w:rFonts w:ascii="Times New Roman" w:hAnsi="Times New Roman"/>
          <w:i/>
          <w:color w:val="000000"/>
          <w:sz w:val="22"/>
        </w:rPr>
        <w:t>redelijkheid en billijkheid</w:t>
      </w:r>
      <w:r>
        <w:rPr>
          <w:rFonts w:ascii="Times New Roman" w:hAnsi="Times New Roman"/>
          <w:color w:val="000000"/>
          <w:sz w:val="22"/>
        </w:rPr>
        <w:t>), suspension (</w:t>
      </w:r>
      <w:r>
        <w:rPr>
          <w:rFonts w:ascii="Times New Roman" w:hAnsi="Times New Roman"/>
          <w:i/>
          <w:color w:val="000000"/>
          <w:sz w:val="22"/>
        </w:rPr>
        <w:t>opschorting</w:t>
      </w:r>
      <w:r>
        <w:rPr>
          <w:rFonts w:ascii="Times New Roman" w:hAnsi="Times New Roman"/>
          <w:color w:val="000000"/>
          <w:sz w:val="22"/>
        </w:rPr>
        <w:t>), dissolution (</w:t>
      </w:r>
      <w:r>
        <w:rPr>
          <w:rFonts w:ascii="Times New Roman" w:hAnsi="Times New Roman"/>
          <w:i/>
          <w:color w:val="000000"/>
          <w:sz w:val="22"/>
        </w:rPr>
        <w:t>ontbinding</w:t>
      </w:r>
      <w:r>
        <w:rPr>
          <w:rFonts w:ascii="Times New Roman" w:hAnsi="Times New Roman"/>
          <w:color w:val="000000"/>
          <w:sz w:val="22"/>
        </w:rPr>
        <w:t>), unforeseen circumstances (</w:t>
      </w:r>
      <w:r>
        <w:rPr>
          <w:rFonts w:ascii="Times New Roman" w:hAnsi="Times New Roman"/>
          <w:i/>
          <w:color w:val="000000"/>
          <w:sz w:val="22"/>
        </w:rPr>
        <w:t>onvoorziene omstandigheden</w:t>
      </w:r>
      <w:r>
        <w:rPr>
          <w:rFonts w:ascii="Times New Roman" w:hAnsi="Times New Roman"/>
          <w:color w:val="000000"/>
          <w:sz w:val="22"/>
        </w:rPr>
        <w:t>) and vitiated consent (i.e., duress (</w:t>
      </w:r>
      <w:r>
        <w:rPr>
          <w:rFonts w:ascii="Times New Roman" w:hAnsi="Times New Roman"/>
          <w:i/>
          <w:color w:val="000000"/>
          <w:sz w:val="22"/>
        </w:rPr>
        <w:t>bedreiging</w:t>
      </w:r>
      <w:r>
        <w:rPr>
          <w:rFonts w:ascii="Times New Roman" w:hAnsi="Times New Roman"/>
          <w:color w:val="000000"/>
          <w:sz w:val="22"/>
        </w:rPr>
        <w:t>), fraud (</w:t>
      </w:r>
      <w:r>
        <w:rPr>
          <w:rFonts w:ascii="Times New Roman" w:hAnsi="Times New Roman"/>
          <w:i/>
          <w:color w:val="000000"/>
          <w:sz w:val="22"/>
        </w:rPr>
        <w:t>bedrog</w:t>
      </w:r>
      <w:r>
        <w:rPr>
          <w:rFonts w:ascii="Times New Roman" w:hAnsi="Times New Roman"/>
          <w:color w:val="000000"/>
          <w:sz w:val="22"/>
        </w:rPr>
        <w:t>), abuse of circumstances (</w:t>
      </w:r>
      <w:r>
        <w:rPr>
          <w:rFonts w:ascii="Times New Roman" w:hAnsi="Times New Roman"/>
          <w:i/>
          <w:color w:val="000000"/>
          <w:sz w:val="22"/>
        </w:rPr>
        <w:t>misbruik van omstandigheden</w:t>
      </w:r>
      <w:r>
        <w:rPr>
          <w:rFonts w:ascii="Times New Roman" w:hAnsi="Times New Roman"/>
          <w:color w:val="000000"/>
          <w:sz w:val="22"/>
        </w:rPr>
        <w:t>) and error (</w:t>
      </w:r>
      <w:r>
        <w:rPr>
          <w:rFonts w:ascii="Times New Roman" w:hAnsi="Times New Roman"/>
          <w:i/>
          <w:color w:val="000000"/>
          <w:sz w:val="22"/>
        </w:rPr>
        <w:t>dwaling</w:t>
      </w:r>
      <w:r>
        <w:rPr>
          <w:rFonts w:ascii="Times New Roman" w:hAnsi="Times New Roman"/>
          <w:color w:val="000000"/>
          <w:sz w:val="22"/>
        </w:rPr>
        <w:t>)) or a difference of intention (</w:t>
      </w:r>
      <w:r>
        <w:rPr>
          <w:rFonts w:ascii="Times New Roman" w:hAnsi="Times New Roman"/>
          <w:i/>
          <w:color w:val="000000"/>
          <w:sz w:val="22"/>
        </w:rPr>
        <w:t>wil</w:t>
      </w:r>
      <w:r>
        <w:rPr>
          <w:rFonts w:ascii="Times New Roman" w:hAnsi="Times New Roman"/>
          <w:color w:val="000000"/>
          <w:sz w:val="22"/>
        </w:rPr>
        <w:t>) and declaration (</w:t>
      </w:r>
      <w:r>
        <w:rPr>
          <w:rFonts w:ascii="Times New Roman" w:hAnsi="Times New Roman"/>
          <w:i/>
          <w:color w:val="000000"/>
          <w:sz w:val="22"/>
        </w:rPr>
        <w:t>verklaring</w:t>
      </w:r>
      <w:r>
        <w:rPr>
          <w:rFonts w:ascii="Times New Roman" w:hAnsi="Times New Roman"/>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rFonts w:ascii="Times New Roman" w:hAnsi="Times New Roman"/>
          <w:color w:val="000000"/>
          <w:sz w:val="22"/>
        </w:rPr>
      </w:pPr>
      <w:bookmarkStart w:id="8" w:name="bmksignoff"/>
      <w:bookmarkEnd w:id="8"/>
      <w:r>
        <w:rPr>
          <w:rFonts w:ascii="Times New Roman" w:hAnsi="Times New Roman"/>
          <w:color w:val="000000"/>
          <w:sz w:val="22"/>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opinion letter does not purport to express any opinion or view on the operational rules and procedures of any clearing or settlement system or agency.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consent to the filing of this opinion letter as an exhibit to the Registration Statement. In giving this consent we do not admit or imply that we are a person whose consent is required under Section 7 of the United States Securities Act of 1933, as amended, or any rules and regulations promulgated thereunder.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Sincerely yours,</w:t>
      </w:r>
    </w:p>
    <w:p>
      <w:pPr>
        <w:pStyle w:val="TextBody"/>
        <w:bidi w:val="0"/>
        <w:spacing w:before="0" w:after="200"/>
        <w:jc w:val="both"/>
        <w:rPr>
          <w:rFonts w:ascii="Times New Roman" w:hAnsi="Times New Roman"/>
          <w:sz w:val="20"/>
        </w:rPr>
      </w:pPr>
      <w:r>
        <w:rPr>
          <w:rFonts w:ascii="Times New Roman" w:hAnsi="Times New Roman"/>
          <w:color w:val="000000"/>
          <w:sz w:val="22"/>
        </w:rPr>
        <w:t>/s/ NautaDutilh N.V.</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bookmarkStart w:id="9" w:name="bmksignature"/>
      <w:bookmarkEnd w:id="9"/>
      <w:r>
        <w:rPr>
          <w:rFonts w:ascii="Times New Roman" w:hAnsi="Times New Roman"/>
          <w:color w:val="000000"/>
          <w:sz w:val="22"/>
        </w:rPr>
        <w:t>NautaDutilh N.V.</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452" w:type="dxa"/>
        <w:jc w:val="left"/>
        <w:tblInd w:w="0" w:type="dxa"/>
        <w:tblLayout w:type="fixed"/>
        <w:tblCellMar>
          <w:top w:w="28" w:type="dxa"/>
          <w:left w:w="28" w:type="dxa"/>
          <w:bottom w:w="28" w:type="dxa"/>
          <w:right w:w="28" w:type="dxa"/>
        </w:tblCellMar>
      </w:tblPr>
      <w:tblGrid>
        <w:gridCol w:w="161"/>
        <w:gridCol w:w="842"/>
        <w:gridCol w:w="1449"/>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2291" w:type="dxa"/>
            <w:gridSpan w:val="2"/>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1371600" cy="21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1371600" cy="21907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449"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0" w:after="200"/>
        <w:jc w:val="left"/>
        <w:rPr>
          <w:rFonts w:ascii="Times New Roman" w:hAnsi="Times New Roman"/>
          <w:b/>
          <w:caps/>
          <w:color w:val="000000"/>
          <w:sz w:val="22"/>
        </w:rPr>
      </w:pPr>
      <w:r>
        <w:rPr>
          <w:rFonts w:ascii="Times New Roman" w:hAnsi="Times New Roman"/>
          <w:b/>
          <w:caps/>
          <w:color w:val="000000"/>
          <w:sz w:val="22"/>
        </w:rPr>
        <w:t>LIST OF DEFINITIONS</w:t>
      </w:r>
    </w:p>
    <w:tbl>
      <w:tblPr>
        <w:tblW w:w="10205" w:type="dxa"/>
        <w:jc w:val="left"/>
        <w:tblInd w:w="0" w:type="dxa"/>
        <w:tblLayout w:type="fixed"/>
        <w:tblCellMar>
          <w:top w:w="28" w:type="dxa"/>
          <w:left w:w="28" w:type="dxa"/>
          <w:bottom w:w="28" w:type="dxa"/>
          <w:right w:w="28" w:type="dxa"/>
        </w:tblCellMar>
      </w:tblPr>
      <w:tblGrid>
        <w:gridCol w:w="1693"/>
        <w:gridCol w:w="8512"/>
      </w:tblGrid>
      <w:tr>
        <w:trPr/>
        <w:tc>
          <w:tcPr>
            <w:tcW w:w="1693"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r>
      <w:tr>
        <w:trPr/>
        <w:tc>
          <w:tcPr>
            <w:tcW w:w="16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Anti Money Laundering Laws</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The European Anti-Money Laundering Directives, as implemented in the Netherlands in the Money Laundering and Terrorist Financing Prevention Act (</w:t>
            </w:r>
            <w:r>
              <w:rPr>
                <w:rFonts w:ascii="Times New Roman" w:hAnsi="Times New Roman"/>
                <w:i/>
                <w:color w:val="000000"/>
                <w:sz w:val="22"/>
              </w:rPr>
              <w:t>Wet ter voorkoming van witwassen en financieren van terrorisme</w:t>
            </w:r>
            <w:r>
              <w:rPr>
                <w:rFonts w:ascii="Times New Roman" w:hAnsi="Times New Roman"/>
                <w:color w:val="000000"/>
                <w:sz w:val="22"/>
              </w:rPr>
              <w:t>) and the Dutch Criminal Code (</w:t>
            </w:r>
            <w:r>
              <w:rPr>
                <w:rFonts w:ascii="Times New Roman" w:hAnsi="Times New Roman"/>
                <w:i/>
                <w:color w:val="000000"/>
                <w:sz w:val="22"/>
              </w:rPr>
              <w:t>Wetboek van Strafrecht</w:t>
            </w:r>
            <w:r>
              <w:rPr>
                <w:rFonts w:ascii="Times New Roman" w:hAnsi="Times New Roman"/>
                <w:color w:val="000000"/>
                <w:sz w:val="22"/>
              </w:rPr>
              <w:t>).</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Anti-Boycott Regulation</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Council Regulation (EC) No 2271/96 of 22 November 1996 on protecting against the effects of the extra-territorial application of legislation adopted by a third country, and actions based thereon or resulting therefrom.</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Articles of Association</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The Company's articles of association (</w:t>
            </w:r>
            <w:r>
              <w:rPr>
                <w:rFonts w:ascii="Times New Roman" w:hAnsi="Times New Roman"/>
                <w:i/>
                <w:color w:val="000000"/>
                <w:sz w:val="22"/>
              </w:rPr>
              <w:t>statuten</w:t>
            </w:r>
            <w:r>
              <w:rPr>
                <w:rFonts w:ascii="Times New Roman" w:hAnsi="Times New Roman"/>
                <w:color w:val="000000"/>
                <w:sz w:val="22"/>
              </w:rPr>
              <w:t>) as they read from time to time.</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Awards</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Rights to subscribe for Common Shares granted pursuant to the terms and conditions of the Plan.</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Bankruptcy Code</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The Dutch Bankruptcy Code (</w:t>
            </w:r>
            <w:r>
              <w:rPr>
                <w:rFonts w:ascii="Times New Roman" w:hAnsi="Times New Roman"/>
                <w:i/>
                <w:color w:val="000000"/>
                <w:sz w:val="22"/>
              </w:rPr>
              <w:t>Faillissementswet</w:t>
            </w:r>
            <w:r>
              <w:rPr>
                <w:rFonts w:ascii="Times New Roman" w:hAnsi="Times New Roman"/>
                <w:color w:val="000000"/>
                <w:sz w:val="22"/>
              </w:rPr>
              <w:t>).</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b/>
                <w:color w:val="000000"/>
                <w:sz w:val="22"/>
              </w:rPr>
            </w:pPr>
            <w:r>
              <w:rPr>
                <w:rFonts w:ascii="Times New Roman" w:hAnsi="Times New Roman"/>
                <w:b/>
                <w:color w:val="000000"/>
                <w:sz w:val="22"/>
              </w:rPr>
              <w:t>"B.V. Deed of Conversion"</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deed of cross-border conversion and amendment dated 2 June 2026.</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Commercial Register</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The Dutch Commercial Register (</w:t>
            </w:r>
            <w:r>
              <w:rPr>
                <w:rFonts w:ascii="Times New Roman" w:hAnsi="Times New Roman"/>
                <w:i/>
                <w:color w:val="000000"/>
                <w:sz w:val="22"/>
              </w:rPr>
              <w:t>handelsregister</w:t>
            </w:r>
            <w:r>
              <w:rPr>
                <w:rFonts w:ascii="Times New Roman" w:hAnsi="Times New Roman"/>
                <w:color w:val="000000"/>
                <w:sz w:val="22"/>
              </w:rPr>
              <w:t>).</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Common Shares</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Common shares in the Company's capital, with a nominal value of EUR 0.04 each.</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Company</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INNIO N.V., a public company with limited liability (</w:t>
            </w:r>
            <w:r>
              <w:rPr>
                <w:rFonts w:ascii="Times New Roman" w:hAnsi="Times New Roman"/>
                <w:i/>
                <w:color w:val="000000"/>
                <w:sz w:val="22"/>
              </w:rPr>
              <w:t>naamloze vennootschap</w:t>
            </w:r>
            <w:r>
              <w:rPr>
                <w:rFonts w:ascii="Times New Roman" w:hAnsi="Times New Roman"/>
                <w:color w:val="000000"/>
                <w:sz w:val="22"/>
              </w:rPr>
              <w:t>), registered with the Commercial Register under number 42074282.</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Corporate Documents</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Pre-Conversion Certificate, the B.V. Deed of Conversion, the Deed of Conversion and the Current Articles.</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Current Articles</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Articles of Association as contained in the Deed of Conversion.</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DCC</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The Dutch Civil Code (</w:t>
            </w:r>
            <w:r>
              <w:rPr>
                <w:rFonts w:ascii="Times New Roman" w:hAnsi="Times New Roman"/>
                <w:i/>
                <w:color w:val="000000"/>
                <w:sz w:val="22"/>
              </w:rPr>
              <w:t>Burgerlijk Wetboek</w:t>
            </w:r>
            <w:r>
              <w:rPr>
                <w:rFonts w:ascii="Times New Roman" w:hAnsi="Times New Roman"/>
                <w:color w:val="000000"/>
                <w:sz w:val="22"/>
              </w:rPr>
              <w:t>).</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Deed of Conversion</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deed of conversion and amendment to the Articles of Association dated 3 June 2026.</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eIDAS Regulation</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Regulation (EU) No 910/2014 of the European Parliament and of the Council of 23 July 2014 on electronic identification and trust services for electronic transactions in the internal market and repealing Directive 1999/93/EC.</w:t>
            </w:r>
          </w:p>
        </w:tc>
      </w:tr>
      <w:tr>
        <w:trPr/>
        <w:tc>
          <w:tcPr>
            <w:tcW w:w="169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Insolvency Proceedings</w:t>
            </w:r>
            <w:r>
              <w:rPr>
                <w:rFonts w:ascii="Times New Roman" w:hAnsi="Times New Roman"/>
                <w:color w:val="000000"/>
                <w:sz w:val="22"/>
              </w:rPr>
              <w:t>"</w:t>
            </w:r>
          </w:p>
        </w:tc>
        <w:tc>
          <w:tcPr>
            <w:tcW w:w="8512"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Any insolvency proceedings within the meaning of Regulation (EU) 2015/848 of the European Parliament and of the Council of 20 May 2015 on insolvency proceedings (recast), as amended by Regulation (EU) 2021/2260 of the European Parliament and of the Council of 15 December 2021, listed in Annex A thereto and any statutory proceedings for the restructuring of debts (</w:t>
            </w:r>
            <w:r>
              <w:rPr>
                <w:rFonts w:ascii="Times New Roman" w:hAnsi="Times New Roman"/>
                <w:i/>
                <w:color w:val="000000"/>
                <w:sz w:val="22"/>
              </w:rPr>
              <w:t>akkoordprocedure</w:t>
            </w:r>
            <w:r>
              <w:rPr>
                <w:rFonts w:ascii="Times New Roman" w:hAnsi="Times New Roman"/>
                <w:color w:val="000000"/>
                <w:sz w:val="22"/>
              </w:rPr>
              <w:t>) pursuant to the Bankruptcy Code.</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452" w:type="dxa"/>
        <w:jc w:val="left"/>
        <w:tblInd w:w="0" w:type="dxa"/>
        <w:tblLayout w:type="fixed"/>
        <w:tblCellMar>
          <w:top w:w="28" w:type="dxa"/>
          <w:left w:w="28" w:type="dxa"/>
          <w:bottom w:w="28" w:type="dxa"/>
          <w:right w:w="28" w:type="dxa"/>
        </w:tblCellMar>
      </w:tblPr>
      <w:tblGrid>
        <w:gridCol w:w="161"/>
        <w:gridCol w:w="842"/>
        <w:gridCol w:w="1449"/>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2291" w:type="dxa"/>
            <w:gridSpan w:val="2"/>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1371600" cy="21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1371600" cy="21907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449"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6</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1"/>
        <w:gridCol w:w="8234"/>
      </w:tblGrid>
      <w:tr>
        <w:trPr/>
        <w:tc>
          <w:tcPr>
            <w:tcW w:w="1971" w:type="dxa"/>
            <w:tcBorders/>
            <w:vAlign w:val="center"/>
          </w:tcPr>
          <w:p>
            <w:pPr>
              <w:pStyle w:val="TableContents"/>
              <w:bidi w:val="0"/>
              <w:spacing w:before="0" w:after="283"/>
              <w:jc w:val="left"/>
              <w:rPr>
                <w:sz w:val="4"/>
                <w:szCs w:val="4"/>
              </w:rPr>
            </w:pPr>
            <w:r>
              <w:rPr>
                <w:sz w:val="4"/>
                <w:szCs w:val="4"/>
              </w:rPr>
            </w:r>
          </w:p>
        </w:tc>
        <w:tc>
          <w:tcPr>
            <w:tcW w:w="8234" w:type="dxa"/>
            <w:tcBorders/>
            <w:vAlign w:val="center"/>
          </w:tcPr>
          <w:p>
            <w:pPr>
              <w:pStyle w:val="TableContents"/>
              <w:bidi w:val="0"/>
              <w:spacing w:before="0" w:after="283"/>
              <w:jc w:val="left"/>
              <w:rPr>
                <w:sz w:val="4"/>
                <w:szCs w:val="4"/>
              </w:rPr>
            </w:pPr>
            <w:r>
              <w:rPr>
                <w:sz w:val="4"/>
                <w:szCs w:val="4"/>
              </w:rPr>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NautaDutilh</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 xml:space="preserve">NautaDutilh N.V. </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the Netherlands</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The European territory of the Kingdom of the Netherlands and "</w:t>
            </w:r>
            <w:r>
              <w:rPr>
                <w:rFonts w:ascii="Times New Roman" w:hAnsi="Times New Roman"/>
                <w:b/>
                <w:color w:val="000000"/>
                <w:sz w:val="22"/>
              </w:rPr>
              <w:t>Dutch</w:t>
            </w:r>
            <w:r>
              <w:rPr>
                <w:rFonts w:ascii="Times New Roman" w:hAnsi="Times New Roman"/>
                <w:color w:val="000000"/>
                <w:sz w:val="22"/>
              </w:rPr>
              <w:t>" is in or from the Netherlands.</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Plan</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2026 Incentive Award Plan of the Company in the form attached as exhibit 99.1 to the Registration Statement.</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Plan Shares</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11,250,000 Common Shares available for issuance under the Plan.</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Pre-Conversion Certificate</w:t>
            </w:r>
            <w:r>
              <w:rPr>
                <w:rFonts w:ascii="Times New Roman" w:hAnsi="Times New Roman"/>
                <w:color w:val="000000"/>
                <w:sz w:val="22"/>
              </w:rPr>
              <w:t> "</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sz w:val="22"/>
              </w:rPr>
            </w:pPr>
            <w:r>
              <w:rPr>
                <w:rFonts w:ascii="Times New Roman" w:hAnsi="Times New Roman"/>
                <w:color w:val="000000"/>
                <w:sz w:val="22"/>
              </w:rPr>
              <w:t xml:space="preserve">The pre-conversion certificate issued pursuant to German law and dated 13 May 2026, relating to the Company's cross-border conversion from a </w:t>
            </w:r>
            <w:r>
              <w:rPr>
                <w:rFonts w:ascii="Times New Roman" w:hAnsi="Times New Roman"/>
                <w:i/>
                <w:color w:val="000000"/>
                <w:sz w:val="22"/>
              </w:rPr>
              <w:t xml:space="preserve">Gesellschaft mit beschränkter Haftung </w:t>
            </w:r>
            <w:r>
              <w:rPr>
                <w:rFonts w:ascii="Times New Roman" w:hAnsi="Times New Roman"/>
                <w:color w:val="000000"/>
                <w:sz w:val="22"/>
              </w:rPr>
              <w:t xml:space="preserve">into a </w:t>
            </w:r>
            <w:r>
              <w:rPr>
                <w:rFonts w:ascii="Times New Roman" w:hAnsi="Times New Roman"/>
                <w:i/>
                <w:color w:val="000000"/>
                <w:sz w:val="22"/>
              </w:rPr>
              <w:t>besloten vennootschap met beperkte aansprakelijkheid</w:t>
            </w:r>
            <w:r>
              <w:rPr>
                <w:rFonts w:ascii="Times New Roman" w:hAnsi="Times New Roman"/>
                <w:color w:val="000000"/>
                <w:sz w:val="22"/>
              </w:rPr>
              <w:t> pursuant to the B.V. Deed of Conversion.</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Prospectus Regulation</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Regulation (EU) 2017/1129 of the European Parliament and of the Council of 14 June 2017 on the prospectus to be published when securities are offered to the public or admitted to trading on a regulated market, and repealing Directive 2003/71/EC.</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Registration Statement</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Company's registration statement on Form S-8 filed or to be filed with the SEC in the form reviewed by us.</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Relevant Moment</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Each time when one or more Awards are granted or one or more Plan Shares are issued pursuant to the exercise or settlement of the relevant Award(s).</w:t>
            </w:r>
          </w:p>
        </w:tc>
      </w:tr>
      <w:tr>
        <w:trPr/>
        <w:tc>
          <w:tcPr>
            <w:tcW w:w="19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SEC</w:t>
            </w:r>
            <w:r>
              <w:rPr>
                <w:rFonts w:ascii="Times New Roman" w:hAnsi="Times New Roman"/>
                <w:color w:val="000000"/>
                <w:sz w:val="22"/>
              </w:rPr>
              <w:t>"</w:t>
            </w:r>
          </w:p>
        </w:tc>
        <w:tc>
          <w:tcPr>
            <w:tcW w:w="8234"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2"/>
              </w:rPr>
            </w:pPr>
            <w:r>
              <w:rPr>
                <w:rFonts w:ascii="Times New Roman" w:hAnsi="Times New Roman"/>
                <w:color w:val="000000"/>
                <w:sz w:val="22"/>
              </w:rPr>
              <w:t>The United States Securities and Exchange Commission.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10" w:name="inio-ex23_1.htm"/>
      <w:bookmarkStart w:id="11" w:name="ksinioex23_1"/>
      <w:bookmarkEnd w:id="10"/>
      <w:bookmarkEnd w:id="11"/>
      <w:r>
        <w:rPr>
          <w:rFonts w:ascii="Arial" w:hAnsi="Arial"/>
          <w:b/>
          <w:color w:val="000000"/>
          <w:sz w:val="20"/>
        </w:rPr>
        <w:t>Exhibit 23.1</w:t>
      </w:r>
      <w:r>
        <w:br w:type="page"/>
      </w:r>
    </w:p>
    <w:p>
      <w:pPr>
        <w:pStyle w:val="TextBody"/>
        <w:bidi w:val="0"/>
        <w:spacing w:before="240" w:after="283"/>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240" w:after="283"/>
        <w:jc w:val="both"/>
        <w:rPr>
          <w:rFonts w:ascii="Arial" w:hAnsi="Arial"/>
          <w:color w:val="000000"/>
          <w:sz w:val="20"/>
        </w:rPr>
      </w:pPr>
      <w:r>
        <w:rPr>
          <w:rFonts w:ascii="Arial" w:hAnsi="Arial"/>
          <w:color w:val="000000"/>
          <w:sz w:val="20"/>
        </w:rPr>
        <w:t>We consent to the use of our report dated March 26, 2026, with respect to the consolidated financial statements of INNIO Holding GmbH, incorporated herein by reference.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KPMG AG Wirtschaftsprüfungsgesellschaft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Stuttgart, Germany</w:t>
      </w:r>
    </w:p>
    <w:p>
      <w:pPr>
        <w:pStyle w:val="TextBody"/>
        <w:bidi w:val="0"/>
        <w:jc w:val="left"/>
        <w:rPr>
          <w:rFonts w:ascii="Arial" w:hAnsi="Arial"/>
          <w:color w:val="000000"/>
          <w:sz w:val="20"/>
        </w:rPr>
      </w:pPr>
      <w:r>
        <w:rPr>
          <w:rFonts w:ascii="Arial" w:hAnsi="Arial"/>
          <w:color w:val="000000"/>
          <w:sz w:val="20"/>
        </w:rPr>
        <w:t>June 5,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2" w:name="inio-exfiling_fees.htm"/>
      <w:bookmarkStart w:id="13" w:name="ksinioexfiling_fees"/>
      <w:bookmarkStart w:id="14" w:name="inio-exfiling_fees.htm"/>
      <w:bookmarkStart w:id="15" w:name="ksinioexfiling_fees"/>
      <w:bookmarkEnd w:id="14"/>
      <w:bookmarkEnd w:id="15"/>
      <w:r>
        <w:br w:type="page"/>
      </w:r>
    </w:p>
    <w:tbl>
      <w:tblPr>
        <w:tblW w:w="3550" w:type="dxa"/>
        <w:jc w:val="left"/>
        <w:tblInd w:w="0" w:type="dxa"/>
        <w:tblLayout w:type="fixed"/>
        <w:tblCellMar>
          <w:top w:w="28" w:type="dxa"/>
          <w:left w:w="28" w:type="dxa"/>
          <w:bottom w:w="28" w:type="dxa"/>
          <w:right w:w="28" w:type="dxa"/>
        </w:tblCellMar>
      </w:tblPr>
      <w:tblGrid>
        <w:gridCol w:w="3396"/>
        <w:gridCol w:w="154"/>
      </w:tblGrid>
      <w:tr>
        <w:trPr/>
        <w:tc>
          <w:tcPr>
            <w:tcW w:w="355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6" w:type="dxa"/>
            <w:tcBorders/>
            <w:vAlign w:val="center"/>
          </w:tcPr>
          <w:p>
            <w:pPr>
              <w:pStyle w:val="TableContents"/>
              <w:bidi w:val="0"/>
              <w:spacing w:before="0" w:after="283"/>
              <w:jc w:val="left"/>
              <w:rPr>
                <w:b/>
              </w:rPr>
            </w:pPr>
            <w:r>
              <w:rPr>
                <w:b/>
              </w:rPr>
              <w:t xml:space="preserve">INNIO N.V.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14" w:type="dxa"/>
        <w:jc w:val="left"/>
        <w:tblInd w:w="0" w:type="dxa"/>
        <w:tblLayout w:type="fixed"/>
        <w:tblCellMar>
          <w:top w:w="28" w:type="dxa"/>
          <w:left w:w="28" w:type="dxa"/>
          <w:bottom w:w="28" w:type="dxa"/>
          <w:right w:w="28" w:type="dxa"/>
        </w:tblCellMar>
      </w:tblPr>
      <w:tblGrid>
        <w:gridCol w:w="241"/>
        <w:gridCol w:w="946"/>
        <w:gridCol w:w="1201"/>
        <w:gridCol w:w="1276"/>
        <w:gridCol w:w="1186"/>
        <w:gridCol w:w="1156"/>
        <w:gridCol w:w="178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shares, nominal value EUR 0.04 per share, reserved for future issuance under the Registrant's 2026 Incentive Award Plan (the "2026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11,250,000 </w:t>
            </w:r>
          </w:p>
        </w:tc>
        <w:tc>
          <w:tcPr>
            <w:tcW w:w="1156" w:type="dxa"/>
            <w:tcBorders/>
            <w:shd w:fill="E7E7E2" w:val="clear"/>
            <w:vAlign w:val="center"/>
          </w:tcPr>
          <w:p>
            <w:pPr>
              <w:pStyle w:val="TableContents"/>
              <w:bidi w:val="0"/>
              <w:spacing w:before="0" w:after="283"/>
              <w:jc w:val="right"/>
              <w:rPr/>
            </w:pPr>
            <w:r>
              <w:rPr/>
              <w:t xml:space="preserve">$ 27.00 </w:t>
            </w:r>
          </w:p>
        </w:tc>
        <w:tc>
          <w:tcPr>
            <w:tcW w:w="1786" w:type="dxa"/>
            <w:tcBorders/>
            <w:shd w:fill="E7E7E2" w:val="clear"/>
            <w:vAlign w:val="center"/>
          </w:tcPr>
          <w:p>
            <w:pPr>
              <w:pStyle w:val="TableContents"/>
              <w:bidi w:val="0"/>
              <w:spacing w:before="0" w:after="283"/>
              <w:jc w:val="right"/>
              <w:rPr/>
            </w:pPr>
            <w:r>
              <w:rPr/>
              <w:t xml:space="preserve">$ 303,750,000.00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$ 41,947.88 </w:t>
            </w:r>
          </w:p>
        </w:tc>
      </w:tr>
      <w:tr>
        <w:trPr/>
        <w:tc>
          <w:tcPr>
            <w:tcW w:w="485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6" w:name="MaxAggtOfferingPrice"/>
            <w:bookmarkEnd w:id="16"/>
            <w:r>
              <w:rPr/>
              <w:t xml:space="preserve">$ 303,750,000.00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7" w:name="TotalFeeAmt"/>
            <w:bookmarkEnd w:id="17"/>
            <w:r>
              <w:rPr/>
              <w:t xml:space="preserve">$ 41,947.88 </w:t>
            </w:r>
          </w:p>
        </w:tc>
      </w:tr>
      <w:tr>
        <w:trPr/>
        <w:tc>
          <w:tcPr>
            <w:tcW w:w="485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8" w:name="TotalOffsetAmt"/>
            <w:bookmarkEnd w:id="18"/>
            <w:r>
              <w:rPr/>
              <w:t xml:space="preserve">$ 0.00 </w:t>
            </w:r>
          </w:p>
        </w:tc>
      </w:tr>
      <w:tr>
        <w:trPr/>
        <w:tc>
          <w:tcPr>
            <w:tcW w:w="485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9" w:name="NetFeeAmt"/>
            <w:bookmarkEnd w:id="19"/>
            <w:r>
              <w:rPr/>
              <w:t xml:space="preserve">$ 41,947.88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common shares that become issuable under the above-named plan, by reason of any share dividend, share split, recapitalization, or other similar transaction effected without receipt of consideration that results in an increase to the number of outstanding shares of common shares, as applicable. (b) Represents 11,250,000 shares of the Registrant's common shares reserved for issuance under the 2026 Plan. The number of shares of common shares reserved for issuance under the 2026 Plan will automatically increase on January 1 of each calendar year from January 1, 2027 through (and including) January 1, 2036, by that number of shares equal to the lesser of (i) 2% of the aggregate number of shares outstanding as of the last day of the immediately preceding fiscal year and (ii) such smaller number of shares as is determined by the board of directors of the Registrant. (c) Estimated solely for purposes of calculating the registration fee pursuant to Rules 457(c) and 457(h) under the Securities Act based upon the initial public offering price of the common shares, which was equal to $27.00.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09150/000119312526256992/liberty_-_424b4.htm" TargetMode="External"/><Relationship Id="rId3" Type="http://schemas.openxmlformats.org/officeDocument/2006/relationships/hyperlink" Target="https://www.sec.gov/Archives/edgar/data/2109150/000119312526256364/liberty_-_8-a.htm" TargetMode="External"/><Relationship Id="rId4" Type="http://schemas.openxmlformats.org/officeDocument/2006/relationships/hyperlink" Target="https://www.sec.gov/Archives/edgar/data/2109150/000119312526237848/ck0002109150-ex3_1.htm" TargetMode="External"/><Relationship Id="rId5" Type="http://schemas.openxmlformats.org/officeDocument/2006/relationships/hyperlink" Target="https://www.sec.gov/Archives/edgar/data/2109150/000119312526237848/ck0002109150-ex10_2.htm" TargetMode="External"/><Relationship Id="rId6" Type="http://schemas.openxmlformats.org/officeDocument/2006/relationships/hyperlink" Target="https://www.sec.gov/Archives/edgar/data/2109150/000119312526237848/ck0002109150-ex10_13.htm" TargetMode="External"/><Relationship Id="rId7" Type="http://schemas.openxmlformats.org/officeDocument/2006/relationships/hyperlink" Target="https://www.sec.gov/Archives/edgar/data/2109150/000119312526249005/ck0002109150-ex10_14.htm" TargetMode="External"/><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5461</Words>
  <Characters>29794</Characters>
  <CharactersWithSpaces>35159</CharactersWithSpaces>
  <Paragraphs>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