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INNIO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nominal value EUR 0.04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646,500,000.00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646,500,000.00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646,500,000.00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86.20 %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750,000,000 common shares outstanding, as reported on the Issuer's prospectus pursuant to rule 424(b)(4) ("Prospectus") filed with the Securities and Exchange Commission ("SEC") on June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Advent International GP,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646,500,000.00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646,500,000.00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646,500,000.00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86.20 %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750,000,000 common shares outstanding, as reported on the Issuer's Prospectus filed with the SEC on June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76"/>
        <w:gridCol w:w="7829"/>
      </w:tblGrid>
      <w:tr>
        <w:trPr/>
        <w:tc>
          <w:tcPr>
            <w:tcW w:w="2376" w:type="dxa"/>
            <w:tcBorders/>
            <w:vAlign w:val="center"/>
          </w:tcPr>
          <w:p>
            <w:pPr>
              <w:pStyle w:val="TableContents"/>
              <w:bidi w:val="0"/>
              <w:spacing w:before="0" w:after="283"/>
              <w:jc w:val="left"/>
              <w:rPr/>
            </w:pPr>
            <w:r>
              <w:rPr/>
              <w:t>1</w:t>
            </w:r>
          </w:p>
        </w:tc>
        <w:tc>
          <w:tcPr>
            <w:tcW w:w="782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AI Alpine (Luxembourg) S.a.r.l.</w:t>
            </w:r>
          </w:p>
        </w:tc>
      </w:tr>
      <w:tr>
        <w:trPr/>
        <w:tc>
          <w:tcPr>
            <w:tcW w:w="2376" w:type="dxa"/>
            <w:tcBorders/>
            <w:vAlign w:val="center"/>
          </w:tcPr>
          <w:p>
            <w:pPr>
              <w:pStyle w:val="TableContents"/>
              <w:bidi w:val="0"/>
              <w:spacing w:before="0" w:after="283"/>
              <w:jc w:val="left"/>
              <w:rPr/>
            </w:pPr>
            <w:r>
              <w:rPr/>
              <w:t>2</w:t>
            </w:r>
          </w:p>
        </w:tc>
        <w:tc>
          <w:tcPr>
            <w:tcW w:w="782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76" w:type="dxa"/>
            <w:tcBorders/>
            <w:vAlign w:val="center"/>
          </w:tcPr>
          <w:p>
            <w:pPr>
              <w:pStyle w:val="TableContents"/>
              <w:bidi w:val="0"/>
              <w:spacing w:before="0" w:after="283"/>
              <w:jc w:val="left"/>
              <w:rPr/>
            </w:pPr>
            <w:r>
              <w:rPr/>
              <w:t>3</w:t>
            </w:r>
          </w:p>
        </w:tc>
        <w:tc>
          <w:tcPr>
            <w:tcW w:w="7829" w:type="dxa"/>
            <w:tcBorders/>
            <w:vAlign w:val="center"/>
          </w:tcPr>
          <w:p>
            <w:pPr>
              <w:pStyle w:val="TableContents"/>
              <w:bidi w:val="0"/>
              <w:spacing w:before="0" w:after="283"/>
              <w:jc w:val="left"/>
              <w:rPr/>
            </w:pPr>
            <w:r>
              <w:rPr/>
              <w:t>Sec Use Only</w:t>
            </w:r>
          </w:p>
        </w:tc>
      </w:tr>
      <w:tr>
        <w:trPr/>
        <w:tc>
          <w:tcPr>
            <w:tcW w:w="2376" w:type="dxa"/>
            <w:tcBorders/>
            <w:vAlign w:val="center"/>
          </w:tcPr>
          <w:p>
            <w:pPr>
              <w:pStyle w:val="TableContents"/>
              <w:bidi w:val="0"/>
              <w:spacing w:before="0" w:after="283"/>
              <w:jc w:val="left"/>
              <w:rPr/>
            </w:pPr>
            <w:r>
              <w:rPr/>
              <w:t>4</w:t>
            </w:r>
          </w:p>
        </w:tc>
        <w:tc>
          <w:tcPr>
            <w:tcW w:w="782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37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646,500,000.00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646,500,000.00</w:t>
                  </w:r>
                </w:p>
              </w:tc>
            </w:tr>
          </w:tbl>
          <w:p>
            <w:pPr>
              <w:pStyle w:val="TableContents"/>
              <w:bidi w:val="0"/>
              <w:spacing w:before="0" w:after="283"/>
              <w:jc w:val="left"/>
              <w:rPr/>
            </w:pPr>
            <w:r>
              <w:rPr/>
            </w:r>
          </w:p>
        </w:tc>
        <w:tc>
          <w:tcPr>
            <w:tcW w:w="7829" w:type="dxa"/>
            <w:tcBorders/>
            <w:vAlign w:val="center"/>
          </w:tcPr>
          <w:p>
            <w:pPr>
              <w:pStyle w:val="TableContents"/>
              <w:bidi w:val="0"/>
              <w:spacing w:before="0" w:after="283"/>
              <w:jc w:val="left"/>
              <w:rPr>
                <w:sz w:val="4"/>
                <w:szCs w:val="4"/>
              </w:rPr>
            </w:pPr>
            <w:r>
              <w:rPr>
                <w:sz w:val="4"/>
                <w:szCs w:val="4"/>
              </w:rPr>
            </w:r>
          </w:p>
        </w:tc>
      </w:tr>
      <w:tr>
        <w:trPr/>
        <w:tc>
          <w:tcPr>
            <w:tcW w:w="2376" w:type="dxa"/>
            <w:tcBorders/>
            <w:vAlign w:val="center"/>
          </w:tcPr>
          <w:p>
            <w:pPr>
              <w:pStyle w:val="TableContents"/>
              <w:bidi w:val="0"/>
              <w:spacing w:before="0" w:after="283"/>
              <w:jc w:val="left"/>
              <w:rPr/>
            </w:pPr>
            <w:r>
              <w:rPr/>
              <w:t>9</w:t>
            </w:r>
          </w:p>
        </w:tc>
        <w:tc>
          <w:tcPr>
            <w:tcW w:w="782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646,500,000.00</w:t>
            </w:r>
          </w:p>
        </w:tc>
      </w:tr>
      <w:tr>
        <w:trPr/>
        <w:tc>
          <w:tcPr>
            <w:tcW w:w="2376" w:type="dxa"/>
            <w:tcBorders/>
            <w:vAlign w:val="center"/>
          </w:tcPr>
          <w:p>
            <w:pPr>
              <w:pStyle w:val="TableContents"/>
              <w:bidi w:val="0"/>
              <w:spacing w:before="0" w:after="283"/>
              <w:jc w:val="left"/>
              <w:rPr/>
            </w:pPr>
            <w:r>
              <w:rPr/>
              <w:t>10</w:t>
            </w:r>
          </w:p>
        </w:tc>
        <w:tc>
          <w:tcPr>
            <w:tcW w:w="782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76" w:type="dxa"/>
            <w:tcBorders/>
            <w:vAlign w:val="center"/>
          </w:tcPr>
          <w:p>
            <w:pPr>
              <w:pStyle w:val="TableContents"/>
              <w:bidi w:val="0"/>
              <w:spacing w:before="0" w:after="283"/>
              <w:jc w:val="left"/>
              <w:rPr/>
            </w:pPr>
            <w:r>
              <w:rPr/>
              <w:t>11</w:t>
            </w:r>
          </w:p>
        </w:tc>
        <w:tc>
          <w:tcPr>
            <w:tcW w:w="782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86.20 % </w:t>
            </w:r>
          </w:p>
        </w:tc>
      </w:tr>
      <w:tr>
        <w:trPr/>
        <w:tc>
          <w:tcPr>
            <w:tcW w:w="2376" w:type="dxa"/>
            <w:tcBorders/>
            <w:vAlign w:val="center"/>
          </w:tcPr>
          <w:p>
            <w:pPr>
              <w:pStyle w:val="TableContents"/>
              <w:bidi w:val="0"/>
              <w:spacing w:before="0" w:after="283"/>
              <w:jc w:val="left"/>
              <w:rPr/>
            </w:pPr>
            <w:r>
              <w:rPr/>
              <w:t>12</w:t>
            </w:r>
          </w:p>
        </w:tc>
        <w:tc>
          <w:tcPr>
            <w:tcW w:w="782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750,000,000 common shares outstanding, as reported on the Issuer's Prospectus filed with the SEC on June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76"/>
        <w:gridCol w:w="7829"/>
      </w:tblGrid>
      <w:tr>
        <w:trPr/>
        <w:tc>
          <w:tcPr>
            <w:tcW w:w="2376" w:type="dxa"/>
            <w:tcBorders/>
            <w:vAlign w:val="center"/>
          </w:tcPr>
          <w:p>
            <w:pPr>
              <w:pStyle w:val="TableContents"/>
              <w:bidi w:val="0"/>
              <w:spacing w:before="0" w:after="283"/>
              <w:jc w:val="left"/>
              <w:rPr/>
            </w:pPr>
            <w:r>
              <w:rPr/>
              <w:t>1</w:t>
            </w:r>
          </w:p>
        </w:tc>
        <w:tc>
          <w:tcPr>
            <w:tcW w:w="782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AI Alpine Parent &amp; Cy S.C.A.</w:t>
            </w:r>
          </w:p>
        </w:tc>
      </w:tr>
      <w:tr>
        <w:trPr/>
        <w:tc>
          <w:tcPr>
            <w:tcW w:w="2376" w:type="dxa"/>
            <w:tcBorders/>
            <w:vAlign w:val="center"/>
          </w:tcPr>
          <w:p>
            <w:pPr>
              <w:pStyle w:val="TableContents"/>
              <w:bidi w:val="0"/>
              <w:spacing w:before="0" w:after="283"/>
              <w:jc w:val="left"/>
              <w:rPr/>
            </w:pPr>
            <w:r>
              <w:rPr/>
              <w:t>2</w:t>
            </w:r>
          </w:p>
        </w:tc>
        <w:tc>
          <w:tcPr>
            <w:tcW w:w="782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376" w:type="dxa"/>
            <w:tcBorders/>
            <w:vAlign w:val="center"/>
          </w:tcPr>
          <w:p>
            <w:pPr>
              <w:pStyle w:val="TableContents"/>
              <w:bidi w:val="0"/>
              <w:spacing w:before="0" w:after="283"/>
              <w:jc w:val="left"/>
              <w:rPr/>
            </w:pPr>
            <w:r>
              <w:rPr/>
              <w:t>3</w:t>
            </w:r>
          </w:p>
        </w:tc>
        <w:tc>
          <w:tcPr>
            <w:tcW w:w="7829" w:type="dxa"/>
            <w:tcBorders/>
            <w:vAlign w:val="center"/>
          </w:tcPr>
          <w:p>
            <w:pPr>
              <w:pStyle w:val="TableContents"/>
              <w:bidi w:val="0"/>
              <w:spacing w:before="0" w:after="283"/>
              <w:jc w:val="left"/>
              <w:rPr/>
            </w:pPr>
            <w:r>
              <w:rPr/>
              <w:t>Sec Use Only</w:t>
            </w:r>
          </w:p>
        </w:tc>
      </w:tr>
      <w:tr>
        <w:trPr/>
        <w:tc>
          <w:tcPr>
            <w:tcW w:w="2376" w:type="dxa"/>
            <w:tcBorders/>
            <w:vAlign w:val="center"/>
          </w:tcPr>
          <w:p>
            <w:pPr>
              <w:pStyle w:val="TableContents"/>
              <w:bidi w:val="0"/>
              <w:spacing w:before="0" w:after="283"/>
              <w:jc w:val="left"/>
              <w:rPr/>
            </w:pPr>
            <w:r>
              <w:rPr/>
              <w:t>4</w:t>
            </w:r>
          </w:p>
        </w:tc>
        <w:tc>
          <w:tcPr>
            <w:tcW w:w="782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37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646,500,000.00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646,500,000.00</w:t>
                  </w:r>
                </w:p>
              </w:tc>
            </w:tr>
          </w:tbl>
          <w:p>
            <w:pPr>
              <w:pStyle w:val="TableContents"/>
              <w:bidi w:val="0"/>
              <w:spacing w:before="0" w:after="283"/>
              <w:jc w:val="left"/>
              <w:rPr/>
            </w:pPr>
            <w:r>
              <w:rPr/>
            </w:r>
          </w:p>
        </w:tc>
        <w:tc>
          <w:tcPr>
            <w:tcW w:w="7829" w:type="dxa"/>
            <w:tcBorders/>
            <w:vAlign w:val="center"/>
          </w:tcPr>
          <w:p>
            <w:pPr>
              <w:pStyle w:val="TableContents"/>
              <w:bidi w:val="0"/>
              <w:spacing w:before="0" w:after="283"/>
              <w:jc w:val="left"/>
              <w:rPr>
                <w:sz w:val="4"/>
                <w:szCs w:val="4"/>
              </w:rPr>
            </w:pPr>
            <w:r>
              <w:rPr>
                <w:sz w:val="4"/>
                <w:szCs w:val="4"/>
              </w:rPr>
            </w:r>
          </w:p>
        </w:tc>
      </w:tr>
      <w:tr>
        <w:trPr/>
        <w:tc>
          <w:tcPr>
            <w:tcW w:w="2376" w:type="dxa"/>
            <w:tcBorders/>
            <w:vAlign w:val="center"/>
          </w:tcPr>
          <w:p>
            <w:pPr>
              <w:pStyle w:val="TableContents"/>
              <w:bidi w:val="0"/>
              <w:spacing w:before="0" w:after="283"/>
              <w:jc w:val="left"/>
              <w:rPr/>
            </w:pPr>
            <w:r>
              <w:rPr/>
              <w:t>9</w:t>
            </w:r>
          </w:p>
        </w:tc>
        <w:tc>
          <w:tcPr>
            <w:tcW w:w="782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646,500,000.00</w:t>
            </w:r>
          </w:p>
        </w:tc>
      </w:tr>
      <w:tr>
        <w:trPr/>
        <w:tc>
          <w:tcPr>
            <w:tcW w:w="2376" w:type="dxa"/>
            <w:tcBorders/>
            <w:vAlign w:val="center"/>
          </w:tcPr>
          <w:p>
            <w:pPr>
              <w:pStyle w:val="TableContents"/>
              <w:bidi w:val="0"/>
              <w:spacing w:before="0" w:after="283"/>
              <w:jc w:val="left"/>
              <w:rPr/>
            </w:pPr>
            <w:r>
              <w:rPr/>
              <w:t>10</w:t>
            </w:r>
          </w:p>
        </w:tc>
        <w:tc>
          <w:tcPr>
            <w:tcW w:w="782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376" w:type="dxa"/>
            <w:tcBorders/>
            <w:vAlign w:val="center"/>
          </w:tcPr>
          <w:p>
            <w:pPr>
              <w:pStyle w:val="TableContents"/>
              <w:bidi w:val="0"/>
              <w:spacing w:before="0" w:after="283"/>
              <w:jc w:val="left"/>
              <w:rPr/>
            </w:pPr>
            <w:r>
              <w:rPr/>
              <w:t>11</w:t>
            </w:r>
          </w:p>
        </w:tc>
        <w:tc>
          <w:tcPr>
            <w:tcW w:w="782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86.20 % </w:t>
            </w:r>
          </w:p>
        </w:tc>
      </w:tr>
      <w:tr>
        <w:trPr/>
        <w:tc>
          <w:tcPr>
            <w:tcW w:w="2376" w:type="dxa"/>
            <w:tcBorders/>
            <w:vAlign w:val="center"/>
          </w:tcPr>
          <w:p>
            <w:pPr>
              <w:pStyle w:val="TableContents"/>
              <w:bidi w:val="0"/>
              <w:spacing w:before="0" w:after="283"/>
              <w:jc w:val="left"/>
              <w:rPr/>
            </w:pPr>
            <w:r>
              <w:rPr/>
              <w:t>12</w:t>
            </w:r>
          </w:p>
        </w:tc>
        <w:tc>
          <w:tcPr>
            <w:tcW w:w="782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750,000,000 common shares outstanding, as reported on the Issuer's Prospectus filed with the SEC on June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Abu Dhabi Investment Authority</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646,500,000.00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646,500,000.00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646,500,000.00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86.20 %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750,000,000 common shares outstanding, as reported on the Issuer's Prospectus filed with the SEC on June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INNIO N.V.</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Nymphenburger Strasse 5, 80335, Munich, Germany 00000</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jointly filed by each of the persons below pursuant to Rule 13d-1(k) promulgated by the SEC pursuant to Section 13 of the Act, all of whom together are referred to herein as the "Reporting Persons": (i) Advent International, L.P., a Delaware limited partnership ("Advent LP"); (ii) Advent International GP, LLC, a Delaware limited liability company ("Advent GP," and together with Advent LP, "Advent"); (iii) AI Alpine (Luxembourg) S.a.r.l., a private limited liability company (societe a responsabilite limitee) incorporated under the laws of the Grand Duchy of Luxembourg ("AI Alpine"); (iv) AI Alpine Parent &amp; Cy S.C.A., a partnership limited by shares (societe en commandite par actions) incorporated under the laws of the Grand Duchy of Luxembourg ("AI Alpine Parent"); and (v) Abu Dhabi Investment Authority, a public institution established by the Government of the Emirate of Abu Dhabi in 1976 as an independent investment institution ("ADIA").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The address of Advent is Prudential Tower, 800 Boylston Street, Boston, MA 02199. (ii) The address of AI Alpine and AI Alpine Parent is 2-4 Rue Beck, Luxembourg, Luxembourg L-1222. (iii) The address of ADIA is 211 Corniche Street, PO Box 3600, Abu Dhabi, United Arab Emirates.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row 4 on each cover page hereto.</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nominal value EUR 0.04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row 9 on each cover page hereto. The reported securities are directly held by AI Alpine, which is indirectly controlled by AI Alpine Parent. 53.8% of the equity of AI Alpine Parent is indirectly held by various funds and accounts affiliated with Advent LP and its general partner, Advent GP, including Advent International GPE X Limited Partnership, Advent International GPE X-G Limited Partnership, and Advent International GPE X-A SCSp. The board of Advent GP appoints the investment committee of Advent LP (the "Investment Committee"), which Investment Committee has voting and investment power with respect to the securities directly held by AI Alpine. ADIA indirectly holds approximately 45.0% of the equity of AI Alpine Parent through Luxinva S.A., a wholly owned subsidiary of ADIA. Due to the terms of its relationship with AI Alpine Parent and such indirect holdings, ADIA may, for the purposes of and pursuant to the rules and regulations of the SEC, also be deemed to have beneficial ownership of the securities directly held by AI Alpine. ADIA is a public institution established by the Government of the Emirate of Abu Dhabi. Pursuant to Rule 13d-4 of the Act, the Reporting Persons declare that filing this statement shall not be construed as an admission that any of the Reporting Persons are beneficial owners of the reported securities, for the purposes of Section 13(d) and/or Section 13(g) of the Act.</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row 11 on each cover page hereto.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row 5 on each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row 6 on each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row 7 on each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row 8 on each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information set forth in Item 4(a) of this Schedule 13G is incorporated by reference into this Item 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Advent International, L.P.</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Neil Crawford</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Neil Crawford / Senior Director, Fund Administration of Advent International GP, LLC,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Advent International GP,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9"/>
        <w:gridCol w:w="4156"/>
      </w:tblGrid>
      <w:tr>
        <w:trPr/>
        <w:tc>
          <w:tcPr>
            <w:tcW w:w="60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Neil Crawford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Neil Crawford / Senior Director, Fund Administration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156" w:type="dxa"/>
            <w:tcBorders/>
            <w:vAlign w:val="center"/>
          </w:tcPr>
          <w:p>
            <w:pPr>
              <w:pStyle w:val="TableContents"/>
              <w:bidi w:val="0"/>
              <w:spacing w:before="0" w:after="283"/>
              <w:jc w:val="left"/>
              <w:rPr>
                <w:sz w:val="4"/>
                <w:szCs w:val="4"/>
              </w:rPr>
            </w:pPr>
            <w:r>
              <w:rPr>
                <w:sz w:val="4"/>
                <w:szCs w:val="4"/>
              </w:rPr>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AI Alpine (Luxembourg) S.a.r.l.</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6"/>
        <w:gridCol w:w="4199"/>
      </w:tblGrid>
      <w:tr>
        <w:trPr/>
        <w:tc>
          <w:tcPr>
            <w:tcW w:w="60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Jean-Francois Jochum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Jean-Francois Jochum / Manager of AI Alpine GP S.a r.l., as the Liquidator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1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Kremena Popova</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Kremena Popova / Manager of AI Alpine GP S.a r.l., as the Liquidator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AI Alpine Parent &amp; Cy S.C.A.</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6"/>
        <w:gridCol w:w="4199"/>
      </w:tblGrid>
      <w:tr>
        <w:trPr/>
        <w:tc>
          <w:tcPr>
            <w:tcW w:w="60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Jean-Francois Jochum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Jean-Francois Jochum / Manager of AI Alpine GP S.a r.l., as the Liquidator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1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Kremena Popova</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Kremena Popova / Manager of AI Alpine GP S.a r.l., as the Liquidator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Abu Dhabi Investment Authority</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4"/>
        <w:gridCol w:w="4251"/>
      </w:tblGrid>
      <w:tr>
        <w:trPr/>
        <w:tc>
          <w:tcPr>
            <w:tcW w:w="59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Ahmed AlNeyadi</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Ahmed AlNeyadi / Authorized Signatory</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5"/>
        <w:gridCol w:w="4150"/>
      </w:tblGrid>
      <w:tr>
        <w:trPr/>
        <w:tc>
          <w:tcPr>
            <w:tcW w:w="60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Saif Surour AlMashghouni</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Saif Surour AlMashghouni / 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150" w:type="dxa"/>
            <w:tcBorders/>
            <w:vAlign w:val="center"/>
          </w:tcPr>
          <w:p>
            <w:pPr>
              <w:pStyle w:val="TableContents"/>
              <w:bidi w:val="0"/>
              <w:spacing w:before="0" w:after="283"/>
              <w:jc w:val="left"/>
              <w:rPr>
                <w:sz w:val="4"/>
                <w:szCs w:val="4"/>
              </w:rPr>
            </w:pPr>
            <w:r>
              <w:rPr>
                <w:sz w:val="4"/>
                <w:szCs w:val="4"/>
              </w:rPr>
            </w:r>
          </w:p>
        </w:tc>
      </w:tr>
    </w:tbl>
    <w:tbl>
      <w:tblPr>
        <w:tblW w:w="5101" w:type="dxa"/>
        <w:jc w:val="left"/>
        <w:tblInd w:w="0" w:type="dxa"/>
        <w:tblLayout w:type="fixed"/>
        <w:tblCellMar>
          <w:top w:w="28" w:type="dxa"/>
          <w:left w:w="28" w:type="dxa"/>
          <w:bottom w:w="28" w:type="dxa"/>
          <w:right w:w="28" w:type="dxa"/>
        </w:tblCellMar>
      </w:tblPr>
      <w:tblGrid>
        <w:gridCol w:w="5101"/>
      </w:tblGrid>
      <w:tr>
        <w:trPr/>
        <w:tc>
          <w:tcPr>
            <w:tcW w:w="5101" w:type="dxa"/>
            <w:tcBorders/>
            <w:vAlign w:val="center"/>
          </w:tcPr>
          <w:p>
            <w:pPr>
              <w:pStyle w:val="TableContents"/>
              <w:bidi w:val="0"/>
              <w:spacing w:before="0" w:after="283"/>
              <w:jc w:val="center"/>
              <w:rPr>
                <w:b/>
              </w:rPr>
            </w:pPr>
            <w:r>
              <w:rPr>
                <w:b/>
              </w:rPr>
              <w:t xml:space="preserve">Exhibit Information </w:t>
            </w:r>
          </w:p>
        </w:tc>
      </w:tr>
      <w:tr>
        <w:trPr/>
        <w:tc>
          <w:tcPr>
            <w:tcW w:w="5101" w:type="dxa"/>
            <w:tcBorders/>
            <w:vAlign w:val="center"/>
          </w:tcPr>
          <w:p>
            <w:pPr>
              <w:pStyle w:val="TableContents"/>
              <w:bidi w:val="0"/>
              <w:spacing w:before="0" w:after="283"/>
              <w:jc w:val="left"/>
              <w:rPr/>
            </w:pPr>
            <w:r>
              <w:rPr/>
              <w:t>99.1 Joint Filing Agreement, dated August 13, 2026</w:t>
            </w:r>
          </w:p>
        </w:tc>
      </w:tr>
    </w:tbl>
    <w:p>
      <w:pPr>
        <w:pStyle w:val="HorizontalLine"/>
        <w:bidi w:val="0"/>
        <w:jc w:val="left"/>
        <w:rPr/>
      </w:pPr>
      <w:r>
        <w:rPr/>
      </w:r>
      <w:bookmarkStart w:id="32" w:name="ef20077281_ex99-1.htm"/>
      <w:bookmarkStart w:id="33" w:name="ksef20077281_ex991"/>
      <w:bookmarkStart w:id="34" w:name="ef20077281_ex99-1.htm"/>
      <w:bookmarkStart w:id="35" w:name="ksef20077281_ex991"/>
      <w:bookmarkEnd w:id="34"/>
      <w:bookmarkEnd w:id="35"/>
      <w:r>
        <w:br w:type="page"/>
      </w:r>
    </w:p>
    <w:p>
      <w:pPr>
        <w:pStyle w:val="TextBody"/>
        <w:bidi w:val="0"/>
        <w:spacing w:before="0" w:after="0"/>
        <w:jc w:val="right"/>
        <w:rPr/>
      </w:pPr>
      <w:r>
        <w:rPr>
          <w:b/>
          <w:color w:val="231F20"/>
        </w:rPr>
        <w:t>EXHIBIT 99.1</w:t>
      </w:r>
      <w:r>
        <w:rPr/>
        <w:t xml:space="preserve"> </w:t>
      </w:r>
    </w:p>
    <w:p>
      <w:pPr>
        <w:pStyle w:val="TextBody"/>
        <w:bidi w:val="0"/>
        <w:spacing w:before="0" w:after="0"/>
        <w:jc w:val="left"/>
        <w:rPr/>
      </w:pPr>
      <w:r>
        <w:rPr/>
        <w:t xml:space="preserve">  </w:t>
      </w:r>
    </w:p>
    <w:p>
      <w:pPr>
        <w:pStyle w:val="TextBody"/>
        <w:bidi w:val="0"/>
        <w:spacing w:before="0" w:after="0"/>
        <w:jc w:val="center"/>
        <w:rPr/>
      </w:pPr>
      <w:r>
        <w:rPr>
          <w:b/>
          <w:color w:val="231F20"/>
        </w:rPr>
        <w:t>JOINT FILING AGREEMENT</w:t>
      </w: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pPr>
      <w:r>
        <w:rPr>
          <w:color w:val="231F20"/>
        </w:rPr>
        <w:t>In accordance with Rule 13d-1(k)(1) promulgated under the Securities Exchange Act of 1934, as amended, the undersigned hereby agree to the joint filing with each of the Reporting Persons (as such term is defined in the Schedule 13G referred to below) on behalf of each of them of a statement on Schedule 13G (including amendments thereto) with respect to the Common shares, nominal value EUR 0.04 per share, of INNIO N.V., a public company with limited liability (</w:t>
      </w:r>
      <w:r>
        <w:rPr>
          <w:i/>
          <w:color w:val="231F20"/>
        </w:rPr>
        <w:t>naamloze vennootschap</w:t>
      </w:r>
      <w:r>
        <w:rPr>
          <w:color w:val="231F20"/>
        </w:rPr>
        <w:t>) under Dutch law, and that this agreement may be included as an exhibit to such joint filing.</w:t>
      </w:r>
      <w:r>
        <w:rPr/>
        <w:t xml:space="preserve"> </w:t>
      </w:r>
    </w:p>
    <w:p>
      <w:pPr>
        <w:pStyle w:val="TextBody"/>
        <w:bidi w:val="0"/>
        <w:spacing w:before="0" w:after="0"/>
        <w:jc w:val="left"/>
        <w:rPr/>
      </w:pPr>
      <w:r>
        <w:rPr/>
        <w:t xml:space="preserve">  </w:t>
      </w:r>
    </w:p>
    <w:tbl>
      <w:tblPr>
        <w:tblW w:w="9452" w:type="dxa"/>
        <w:jc w:val="left"/>
        <w:tblInd w:w="0" w:type="dxa"/>
        <w:tblLayout w:type="fixed"/>
        <w:tblCellMar>
          <w:top w:w="28" w:type="dxa"/>
          <w:left w:w="28" w:type="dxa"/>
          <w:bottom w:w="28" w:type="dxa"/>
          <w:right w:w="28" w:type="dxa"/>
        </w:tblCellMar>
      </w:tblPr>
      <w:tblGrid>
        <w:gridCol w:w="2341"/>
        <w:gridCol w:w="7111"/>
      </w:tblGrid>
      <w:tr>
        <w:trPr/>
        <w:tc>
          <w:tcPr>
            <w:tcW w:w="2341" w:type="dxa"/>
            <w:tcBorders/>
            <w:vAlign w:val="center"/>
          </w:tcPr>
          <w:p>
            <w:pPr>
              <w:pStyle w:val="TableContents"/>
              <w:bidi w:val="0"/>
              <w:spacing w:before="0" w:after="283"/>
              <w:jc w:val="left"/>
              <w:rPr/>
            </w:pPr>
            <w:r>
              <w:rPr/>
              <w:t> </w:t>
            </w:r>
          </w:p>
        </w:tc>
        <w:tc>
          <w:tcPr>
            <w:tcW w:w="7111" w:type="dxa"/>
            <w:tcBorders/>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0"/>
              <w:jc w:val="left"/>
              <w:rPr/>
            </w:pPr>
            <w:r>
              <w:rPr>
                <w:color w:val="231F20"/>
              </w:rPr>
              <w:t>Date: August 13, 2026</w:t>
            </w:r>
            <w:r>
              <w:rPr/>
              <w:t xml:space="preserve"> </w:t>
            </w:r>
          </w:p>
        </w:tc>
        <w:tc>
          <w:tcPr>
            <w:tcW w:w="7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0"/>
              <w:jc w:val="left"/>
              <w:rPr/>
            </w:pPr>
            <w:r>
              <w:rPr>
                <w:color w:val="231F20"/>
              </w:rPr>
              <w:t>ADVENT INTERNATIONAL, L.P.</w:t>
            </w:r>
            <w:r>
              <w:rPr/>
              <w:t xml:space="preserve">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0"/>
              <w:jc w:val="left"/>
              <w:rPr/>
            </w:pPr>
            <w:r>
              <w:rPr>
                <w:color w:val="231F20"/>
              </w:rPr>
              <w:t>By: ADVENT INTERNATIONAL GP, LLC, GENERAL PARTNER</w:t>
            </w:r>
            <w:r>
              <w:rPr/>
              <w:t xml:space="preserve">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bottom w:val="single" w:sz="12" w:space="0" w:color="000000"/>
            </w:tcBorders>
            <w:tcMar>
              <w:top w:w="0" w:type="dxa"/>
              <w:left w:w="0" w:type="dxa"/>
              <w:right w:w="0" w:type="dxa"/>
            </w:tcMar>
            <w:vAlign w:val="center"/>
          </w:tcPr>
          <w:p>
            <w:pPr>
              <w:pStyle w:val="TableContents"/>
              <w:bidi w:val="0"/>
              <w:spacing w:before="0" w:after="0"/>
              <w:jc w:val="left"/>
              <w:rPr/>
            </w:pPr>
            <w:r>
              <w:rPr>
                <w:color w:val="231F20"/>
              </w:rPr>
              <w:t>/s/ Neil Crawford</w:t>
            </w:r>
            <w:r>
              <w:rPr/>
              <w:t xml:space="preserve">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0"/>
              <w:jc w:val="left"/>
              <w:rPr/>
            </w:pPr>
            <w:r>
              <w:rPr>
                <w:color w:val="231F20"/>
              </w:rPr>
              <w:t>Name: Neil Crawford</w:t>
            </w:r>
            <w:r>
              <w:rPr/>
              <w:t xml:space="preserve">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0"/>
              <w:jc w:val="left"/>
              <w:rPr>
                <w:color w:val="231F20"/>
              </w:rPr>
            </w:pPr>
            <w:r>
              <w:rPr>
                <w:color w:val="231F20"/>
              </w:rPr>
              <w:t>Title: Senior Director, Fund Administration</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0"/>
              <w:jc w:val="left"/>
              <w:rPr/>
            </w:pPr>
            <w:r>
              <w:rPr>
                <w:color w:val="231F20"/>
              </w:rPr>
              <w:t>ADVENT INTERNATIONAL GP, LLC</w:t>
            </w:r>
            <w:r>
              <w:rPr/>
              <w:t xml:space="preserve">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bottom w:val="single" w:sz="12" w:space="0" w:color="000000"/>
            </w:tcBorders>
            <w:tcMar>
              <w:top w:w="0" w:type="dxa"/>
              <w:left w:w="0" w:type="dxa"/>
              <w:right w:w="0" w:type="dxa"/>
            </w:tcMar>
            <w:vAlign w:val="center"/>
          </w:tcPr>
          <w:p>
            <w:pPr>
              <w:pStyle w:val="TableContents"/>
              <w:bidi w:val="0"/>
              <w:spacing w:before="0" w:after="0"/>
              <w:jc w:val="left"/>
              <w:rPr/>
            </w:pPr>
            <w:r>
              <w:rPr>
                <w:color w:val="231F20"/>
              </w:rPr>
              <w:t>/s/ Neil Crawford</w:t>
            </w:r>
            <w:r>
              <w:rPr/>
              <w:t xml:space="preserve">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0"/>
              <w:jc w:val="left"/>
              <w:rPr/>
            </w:pPr>
            <w:r>
              <w:rPr>
                <w:color w:val="231F20"/>
              </w:rPr>
              <w:t>Name: Neil Crawford</w:t>
            </w:r>
            <w:r>
              <w:rPr/>
              <w:t xml:space="preserve">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0"/>
              <w:jc w:val="left"/>
              <w:rPr/>
            </w:pPr>
            <w:r>
              <w:rPr>
                <w:color w:val="231F20"/>
              </w:rPr>
              <w:t xml:space="preserve">Title: </w:t>
            </w:r>
            <w:r>
              <w:rPr>
                <w:color w:val="231F20"/>
                <w:spacing w:val="0"/>
              </w:rPr>
              <w:t>Senior Director, Fund Administration</w:t>
            </w:r>
            <w:r>
              <w:rPr/>
              <w:t xml:space="preserve"> </w:t>
            </w:r>
          </w:p>
        </w:tc>
      </w:tr>
    </w:tbl>
    <w:p>
      <w:pPr>
        <w:pStyle w:val="TextBody"/>
        <w:bidi w:val="0"/>
        <w:spacing w:before="0" w:after="0"/>
        <w:jc w:val="left"/>
        <w:rPr/>
      </w:pPr>
      <w:r>
        <w:rPr/>
        <w:t xml:space="preserve">  </w:t>
      </w:r>
    </w:p>
    <w:tbl>
      <w:tblPr>
        <w:tblW w:w="4902" w:type="dxa"/>
        <w:jc w:val="left"/>
        <w:tblInd w:w="0" w:type="dxa"/>
        <w:tblLayout w:type="fixed"/>
        <w:tblCellMar>
          <w:top w:w="28" w:type="dxa"/>
          <w:left w:w="28" w:type="dxa"/>
          <w:bottom w:w="28" w:type="dxa"/>
          <w:right w:w="28" w:type="dxa"/>
        </w:tblCellMar>
      </w:tblPr>
      <w:tblGrid>
        <w:gridCol w:w="161"/>
        <w:gridCol w:w="4741"/>
      </w:tblGrid>
      <w:tr>
        <w:trPr/>
        <w:tc>
          <w:tcPr>
            <w:tcW w:w="161" w:type="dxa"/>
            <w:tcBorders/>
            <w:vAlign w:val="center"/>
          </w:tcPr>
          <w:p>
            <w:pPr>
              <w:pStyle w:val="TableContents"/>
              <w:bidi w:val="0"/>
              <w:spacing w:before="0" w:after="283"/>
              <w:jc w:val="left"/>
              <w:rPr/>
            </w:pPr>
            <w:r>
              <w:rPr/>
              <w:t> </w:t>
            </w:r>
          </w:p>
        </w:tc>
        <w:tc>
          <w:tcPr>
            <w:tcW w:w="4741"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0"/>
              <w:jc w:val="left"/>
              <w:rPr/>
            </w:pPr>
            <w:r>
              <w:rPr>
                <w:color w:val="231F20"/>
                <w:spacing w:val="0"/>
              </w:rPr>
              <w:t>AI ALPINE (LUXEMBOURG) S.A R.L.</w:t>
            </w:r>
            <w:r>
              <w:rPr>
                <w:color w:val="000000"/>
              </w:rPr>
              <w:br/>
              <w:t>AI ALPINE PARENT &amp; CY S.C.A.</w:t>
            </w:r>
            <w:r>
              <w:rPr/>
              <w:t xml:space="preserve"> </w:t>
            </w:r>
          </w:p>
        </w:tc>
      </w:tr>
      <w:tr>
        <w:trPr/>
        <w:tc>
          <w:tcPr>
            <w:tcW w:w="161" w:type="dxa"/>
            <w:tcBorders/>
            <w:vAlign w:val="center"/>
          </w:tcPr>
          <w:p>
            <w:pPr>
              <w:pStyle w:val="TableContents"/>
              <w:bidi w:val="0"/>
              <w:spacing w:before="0" w:after="283"/>
              <w:jc w:val="left"/>
              <w:rPr/>
            </w:pPr>
            <w:r>
              <w:rPr/>
              <w:t> </w:t>
            </w:r>
          </w:p>
        </w:tc>
        <w:tc>
          <w:tcPr>
            <w:tcW w:w="4741"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0"/>
              <w:jc w:val="left"/>
              <w:rPr/>
            </w:pPr>
            <w:r>
              <w:rPr/>
              <w:t xml:space="preserve">By: AI ALPINE GP S.A R.L., LIQUIDATOR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Jean-Francois Jochum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0"/>
              <w:jc w:val="left"/>
              <w:rPr/>
            </w:pPr>
            <w:r>
              <w:rPr/>
              <w:t xml:space="preserve">Name: Jean-Francois Jochum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0"/>
              <w:jc w:val="left"/>
              <w:rPr/>
            </w:pPr>
            <w:r>
              <w:rPr/>
              <w:t xml:space="preserve">Title: Manager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Kremena Popova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0"/>
              <w:jc w:val="left"/>
              <w:rPr/>
            </w:pPr>
            <w:r>
              <w:rPr/>
              <w:t xml:space="preserve">Name: Kremena Popova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0"/>
              <w:jc w:val="left"/>
              <w:rPr/>
            </w:pPr>
            <w:r>
              <w:rPr/>
              <w:t xml:space="preserve">Title: Manager </w:t>
            </w:r>
          </w:p>
        </w:tc>
      </w:tr>
    </w:tbl>
    <w:p>
      <w:pPr>
        <w:pStyle w:val="TextBody"/>
        <w:bidi w:val="0"/>
        <w:spacing w:before="0" w:after="0"/>
        <w:jc w:val="left"/>
        <w:rPr/>
      </w:pPr>
      <w:r>
        <w:rPr/>
        <w:t xml:space="preserve">  </w:t>
      </w:r>
    </w:p>
    <w:tbl>
      <w:tblPr>
        <w:tblW w:w="4857" w:type="dxa"/>
        <w:jc w:val="left"/>
        <w:tblInd w:w="0" w:type="dxa"/>
        <w:tblLayout w:type="fixed"/>
        <w:tblCellMar>
          <w:top w:w="28" w:type="dxa"/>
          <w:left w:w="28" w:type="dxa"/>
          <w:bottom w:w="28" w:type="dxa"/>
          <w:right w:w="28" w:type="dxa"/>
        </w:tblCellMar>
      </w:tblPr>
      <w:tblGrid>
        <w:gridCol w:w="161"/>
        <w:gridCol w:w="4696"/>
      </w:tblGrid>
      <w:tr>
        <w:trPr/>
        <w:tc>
          <w:tcPr>
            <w:tcW w:w="161" w:type="dxa"/>
            <w:tcBorders/>
            <w:vAlign w:val="center"/>
          </w:tcPr>
          <w:p>
            <w:pPr>
              <w:pStyle w:val="TableContents"/>
              <w:bidi w:val="0"/>
              <w:spacing w:before="0" w:after="283"/>
              <w:jc w:val="left"/>
              <w:rPr/>
            </w:pPr>
            <w:r>
              <w:rPr/>
              <w:t> </w:t>
            </w:r>
          </w:p>
        </w:tc>
        <w:tc>
          <w:tcPr>
            <w:tcW w:w="4696"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0" w:after="0"/>
              <w:jc w:val="left"/>
              <w:rPr/>
            </w:pPr>
            <w:r>
              <w:rPr>
                <w:color w:val="000000"/>
              </w:rPr>
              <w:t>ABU DHABI INVESTMENT AUTHORITY</w:t>
            </w:r>
            <w:r>
              <w:rPr/>
              <w:t xml:space="preserve"> </w:t>
            </w:r>
          </w:p>
        </w:tc>
      </w:tr>
      <w:tr>
        <w:trPr/>
        <w:tc>
          <w:tcPr>
            <w:tcW w:w="161" w:type="dxa"/>
            <w:tcBorders/>
            <w:vAlign w:val="center"/>
          </w:tcPr>
          <w:p>
            <w:pPr>
              <w:pStyle w:val="TableContents"/>
              <w:bidi w:val="0"/>
              <w:spacing w:before="0" w:after="283"/>
              <w:jc w:val="left"/>
              <w:rPr/>
            </w:pPr>
            <w:r>
              <w:rPr/>
              <w:t> </w:t>
            </w:r>
          </w:p>
        </w:tc>
        <w:tc>
          <w:tcPr>
            <w:tcW w:w="4696"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bottom w:val="single" w:sz="12" w:space="0" w:color="000000"/>
            </w:tcBorders>
            <w:tcMar>
              <w:top w:w="0" w:type="dxa"/>
              <w:left w:w="0" w:type="dxa"/>
              <w:right w:w="0" w:type="dxa"/>
            </w:tcMar>
            <w:vAlign w:val="center"/>
          </w:tcPr>
          <w:p>
            <w:pPr>
              <w:pStyle w:val="TableContents"/>
              <w:bidi w:val="0"/>
              <w:spacing w:before="0" w:after="0"/>
              <w:jc w:val="left"/>
              <w:rPr/>
            </w:pPr>
            <w:r>
              <w:rPr>
                <w:color w:val="231F20"/>
              </w:rPr>
              <w:t>/s/ Ahmed AlNeyadi</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0" w:after="0"/>
              <w:jc w:val="left"/>
              <w:rPr/>
            </w:pPr>
            <w:r>
              <w:rPr>
                <w:color w:val="231F20"/>
              </w:rPr>
              <w:t>Name: Ahmed AlNeyadi</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0" w:after="0"/>
              <w:jc w:val="left"/>
              <w:rPr/>
            </w:pPr>
            <w:r>
              <w:rPr>
                <w:color w:val="231F20"/>
              </w:rPr>
              <w:t>Title: Authorized Signatory</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bottom w:val="single" w:sz="12" w:space="0" w:color="000000"/>
            </w:tcBorders>
            <w:tcMar>
              <w:top w:w="0" w:type="dxa"/>
              <w:left w:w="0" w:type="dxa"/>
              <w:right w:w="0" w:type="dxa"/>
            </w:tcMar>
            <w:vAlign w:val="center"/>
          </w:tcPr>
          <w:p>
            <w:pPr>
              <w:pStyle w:val="TableContents"/>
              <w:bidi w:val="0"/>
              <w:spacing w:before="0" w:after="0"/>
              <w:jc w:val="left"/>
              <w:rPr/>
            </w:pPr>
            <w:r>
              <w:rPr>
                <w:color w:val="231F20"/>
              </w:rPr>
              <w:t>/s/ Saif Surour AlMashghouni</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0" w:after="0"/>
              <w:jc w:val="left"/>
              <w:rPr/>
            </w:pPr>
            <w:r>
              <w:rPr>
                <w:color w:val="231F20"/>
              </w:rPr>
              <w:t>Name: Saif Surour AlMashghouni</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96" w:type="dxa"/>
            <w:tcBorders/>
            <w:tcMar>
              <w:top w:w="0" w:type="dxa"/>
              <w:left w:w="0" w:type="dxa"/>
              <w:bottom w:w="0" w:type="dxa"/>
              <w:right w:w="0" w:type="dxa"/>
            </w:tcMar>
            <w:vAlign w:val="center"/>
          </w:tcPr>
          <w:p>
            <w:pPr>
              <w:pStyle w:val="TableContents"/>
              <w:bidi w:val="0"/>
              <w:spacing w:before="0" w:after="0"/>
              <w:jc w:val="left"/>
              <w:rPr/>
            </w:pPr>
            <w:r>
              <w:rPr>
                <w:color w:val="231F20"/>
              </w:rPr>
              <w:t>Title: Authorized Signatory</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2202</Words>
  <Characters>11634</Characters>
  <CharactersWithSpaces>13793</CharactersWithSpaces>
  <Paragraphs>457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